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D2" w:rsidRPr="00A0782F" w:rsidRDefault="001C6FD2" w:rsidP="00BB3B4C">
      <w:pPr>
        <w:ind w:firstLine="540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ПОЯСНЕНИЕ</w:t>
      </w:r>
    </w:p>
    <w:p w:rsidR="001C6FD2" w:rsidRPr="00A0782F" w:rsidRDefault="001C6FD2" w:rsidP="00BB3B4C">
      <w:pPr>
        <w:ind w:firstLine="540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 xml:space="preserve">к  прогнозу социально-экономического развития </w:t>
      </w:r>
    </w:p>
    <w:p w:rsidR="001C6FD2" w:rsidRPr="00A0782F" w:rsidRDefault="001C6FD2" w:rsidP="00BB3B4C">
      <w:pPr>
        <w:ind w:firstLine="540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Теучежского района на 2021-2023 годы.</w:t>
      </w:r>
    </w:p>
    <w:p w:rsidR="001C6FD2" w:rsidRPr="00A0782F" w:rsidRDefault="001C6FD2" w:rsidP="00BB3B4C">
      <w:pPr>
        <w:ind w:firstLine="540"/>
        <w:jc w:val="center"/>
        <w:rPr>
          <w:b/>
          <w:bCs/>
          <w:sz w:val="20"/>
          <w:szCs w:val="20"/>
        </w:rPr>
      </w:pPr>
    </w:p>
    <w:p w:rsidR="001C6FD2" w:rsidRPr="00A0782F" w:rsidRDefault="001C6FD2" w:rsidP="00BB3B4C">
      <w:pPr>
        <w:ind w:firstLine="540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Промышленность</w:t>
      </w:r>
    </w:p>
    <w:p w:rsidR="001C6FD2" w:rsidRPr="00A0782F" w:rsidRDefault="001C6FD2" w:rsidP="00BB3B4C">
      <w:pPr>
        <w:ind w:firstLine="540"/>
        <w:jc w:val="center"/>
        <w:rPr>
          <w:b/>
          <w:bCs/>
          <w:sz w:val="20"/>
          <w:szCs w:val="20"/>
        </w:rPr>
      </w:pPr>
    </w:p>
    <w:p w:rsidR="001C6FD2" w:rsidRPr="00A0782F" w:rsidRDefault="001C6FD2" w:rsidP="00577756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Теучежском районе по состоянию на 1 января 2020 года осуществляют свою деятельность 2 крупных, 1 среднее , 4 малых и 2 микропредприятия. Прогноз производства промышленной продукции рассчитан в двух вариантах.</w:t>
      </w:r>
    </w:p>
    <w:p w:rsidR="001C6FD2" w:rsidRPr="00A0782F" w:rsidRDefault="001C6FD2" w:rsidP="00577756">
      <w:pPr>
        <w:ind w:firstLine="53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Объем производимой предприятиями промышленной продукции (работ и услуг) составит в 2020 году 429,1 млн. рублей, что составит 111% к уровню прошлого года в сопоставимых ценах. </w:t>
      </w:r>
    </w:p>
    <w:p w:rsidR="001C6FD2" w:rsidRPr="00A0782F" w:rsidRDefault="001C6FD2" w:rsidP="00577756">
      <w:pPr>
        <w:ind w:firstLine="53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районе осуществляется производство муки, хлеба, хлебобулочных и кондитерских изделий. Объемы производства в 2020 году оцениваются на уровне 113,4% в сопоставимых ценах и составят 389,1 млн. рублей. С 2021 года прогнозируется увеличение выпуска продукции на 105,1-105,3% по  консервативному варианту, 106,1-106,4% по базовому варианту.</w:t>
      </w:r>
    </w:p>
    <w:p w:rsidR="001C6FD2" w:rsidRPr="00A0782F" w:rsidRDefault="001C6FD2" w:rsidP="00577756">
      <w:pPr>
        <w:ind w:firstLine="53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Объемы производства бумажных изделий оцениваются в 2020 году в сумме 80,0 млн.рублей, или 105,2% к уровню прошлого года в сопоставимых ценах. С 2021 года прогнозируется увеличение продукции на 101-102% по первому и второму вариантам.</w:t>
      </w:r>
    </w:p>
    <w:p w:rsidR="001C6FD2" w:rsidRPr="00A0782F" w:rsidRDefault="001C6FD2" w:rsidP="00577756">
      <w:pPr>
        <w:ind w:firstLine="53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Производство строительных материалов оцениваются в 2020 году в сумме 235,0 млн.рублей, или 100,9% к уровню прошлого года в сопоставимых ценах. В последующие годы прогнозируется  незначительное увеличение в пределах 101-102%. </w:t>
      </w:r>
    </w:p>
    <w:p w:rsidR="001C6FD2" w:rsidRPr="00A0782F" w:rsidRDefault="001C6FD2" w:rsidP="00577756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Объемы предприятий по производству теплоэнергии оцениваются на уровне 94,8% и составят 13,7 млн. рублей. С 2021 года планируется увеличение выпуска продукции на 101-102%.</w:t>
      </w:r>
    </w:p>
    <w:p w:rsidR="001C6FD2" w:rsidRPr="00A0782F" w:rsidRDefault="001C6FD2" w:rsidP="00577756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Объемы предприятий осуществляющих водоснабжение и водоотведение оцениваются на уровне 100,6% и достигнут 24,9 млн. рублей. С 2021 года планируется увеличение выпуска продукции на 101-102%.</w:t>
      </w:r>
    </w:p>
    <w:p w:rsidR="001C6FD2" w:rsidRPr="00A0782F" w:rsidRDefault="001C6FD2" w:rsidP="00815F82">
      <w:pPr>
        <w:shd w:val="clear" w:color="auto" w:fill="FFFFFF"/>
        <w:ind w:firstLine="567"/>
        <w:jc w:val="both"/>
        <w:rPr>
          <w:b/>
          <w:bCs/>
          <w:color w:val="000000"/>
          <w:spacing w:val="-2"/>
          <w:sz w:val="20"/>
          <w:szCs w:val="20"/>
        </w:rPr>
      </w:pPr>
      <w:r>
        <w:rPr>
          <w:noProof/>
        </w:rPr>
        <w:pict>
          <v:line id="_x0000_s1026" style="position:absolute;left:0;text-align:left;z-index:251658240;mso-position-horizontal-relative:margin" from="-534.45pt,-2.65pt" to="-88.05pt,-2.65pt" o:allowincell="f" strokeweight=".7pt">
            <w10:wrap anchorx="margin"/>
          </v:line>
        </w:pict>
      </w:r>
      <w:r w:rsidRPr="00A0782F">
        <w:rPr>
          <w:b/>
          <w:bCs/>
          <w:color w:val="000000"/>
          <w:spacing w:val="-2"/>
          <w:sz w:val="20"/>
          <w:szCs w:val="20"/>
        </w:rPr>
        <w:t xml:space="preserve">                                                </w:t>
      </w:r>
    </w:p>
    <w:p w:rsidR="001C6FD2" w:rsidRPr="00A0782F" w:rsidRDefault="001C6FD2" w:rsidP="00815F82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0"/>
          <w:szCs w:val="20"/>
        </w:rPr>
      </w:pPr>
      <w:r w:rsidRPr="00A0782F">
        <w:rPr>
          <w:b/>
          <w:bCs/>
          <w:color w:val="000000"/>
          <w:spacing w:val="-1"/>
          <w:sz w:val="20"/>
          <w:szCs w:val="20"/>
        </w:rPr>
        <w:t>Сельское хозяйство</w:t>
      </w:r>
    </w:p>
    <w:p w:rsidR="001C6FD2" w:rsidRPr="00A0782F" w:rsidRDefault="001C6FD2" w:rsidP="00577756">
      <w:pPr>
        <w:shd w:val="clear" w:color="auto" w:fill="FFFFFF"/>
        <w:spacing w:before="278" w:line="274" w:lineRule="exact"/>
        <w:ind w:left="5" w:firstLine="710"/>
        <w:jc w:val="both"/>
        <w:rPr>
          <w:sz w:val="20"/>
          <w:szCs w:val="20"/>
        </w:rPr>
      </w:pPr>
      <w:r w:rsidRPr="00A0782F">
        <w:rPr>
          <w:color w:val="000000"/>
          <w:spacing w:val="1"/>
          <w:sz w:val="20"/>
          <w:szCs w:val="20"/>
        </w:rPr>
        <w:t xml:space="preserve">При составлении прогноза социально- экономического развития на 2021 год и на период до 2023 года рассчитаны два </w:t>
      </w:r>
      <w:r w:rsidRPr="00A0782F">
        <w:rPr>
          <w:color w:val="000000"/>
          <w:sz w:val="20"/>
          <w:szCs w:val="20"/>
        </w:rPr>
        <w:t>варианта развития агропромышленного комплекса  Теучежского района.</w:t>
      </w:r>
    </w:p>
    <w:p w:rsidR="001C6FD2" w:rsidRPr="00A0782F" w:rsidRDefault="001C6FD2" w:rsidP="00577756">
      <w:pPr>
        <w:shd w:val="clear" w:color="auto" w:fill="FFFFFF"/>
        <w:spacing w:line="274" w:lineRule="exact"/>
        <w:ind w:left="5" w:right="10" w:firstLine="710"/>
        <w:jc w:val="both"/>
        <w:rPr>
          <w:sz w:val="20"/>
          <w:szCs w:val="20"/>
        </w:rPr>
      </w:pPr>
      <w:r w:rsidRPr="00A0782F">
        <w:rPr>
          <w:color w:val="000000"/>
          <w:sz w:val="20"/>
          <w:szCs w:val="20"/>
        </w:rPr>
        <w:t xml:space="preserve">Первый вариант рассчитан на менее благоприятные условия хозяйствования </w:t>
      </w:r>
      <w:r w:rsidRPr="00A0782F">
        <w:rPr>
          <w:color w:val="000000"/>
          <w:spacing w:val="2"/>
          <w:sz w:val="20"/>
          <w:szCs w:val="20"/>
        </w:rPr>
        <w:t>предусматривает рост объемов производства с 2021 года не более 104,6%%</w:t>
      </w:r>
    </w:p>
    <w:p w:rsidR="001C6FD2" w:rsidRPr="00A0782F" w:rsidRDefault="001C6FD2" w:rsidP="00577756">
      <w:pPr>
        <w:shd w:val="clear" w:color="auto" w:fill="FFFFFF"/>
        <w:spacing w:line="274" w:lineRule="exact"/>
        <w:ind w:left="5" w:right="10" w:firstLine="715"/>
        <w:jc w:val="both"/>
        <w:rPr>
          <w:color w:val="000000"/>
          <w:sz w:val="20"/>
          <w:szCs w:val="20"/>
        </w:rPr>
      </w:pPr>
      <w:r w:rsidRPr="00A0782F">
        <w:rPr>
          <w:color w:val="000000"/>
          <w:spacing w:val="4"/>
          <w:sz w:val="20"/>
          <w:szCs w:val="20"/>
        </w:rPr>
        <w:t xml:space="preserve">Второй   вариант   рассчитан на более благоприятные условия хозяйственной </w:t>
      </w:r>
      <w:r w:rsidRPr="00A0782F">
        <w:rPr>
          <w:color w:val="000000"/>
          <w:spacing w:val="-1"/>
          <w:sz w:val="20"/>
          <w:szCs w:val="20"/>
        </w:rPr>
        <w:t xml:space="preserve">деятельности агропромышленного комплекса и предусматривают ежегодный рост объемов </w:t>
      </w:r>
      <w:r w:rsidRPr="00A0782F">
        <w:rPr>
          <w:color w:val="000000"/>
          <w:sz w:val="20"/>
          <w:szCs w:val="20"/>
        </w:rPr>
        <w:t>производства  в пределах 104,8-105,1%, начиная с 2021  года.</w:t>
      </w:r>
    </w:p>
    <w:p w:rsidR="001C6FD2" w:rsidRPr="00A0782F" w:rsidRDefault="001C6FD2" w:rsidP="00577756">
      <w:pPr>
        <w:shd w:val="clear" w:color="auto" w:fill="FFFFFF"/>
        <w:spacing w:before="5" w:line="274" w:lineRule="exact"/>
        <w:ind w:right="10" w:firstLine="715"/>
        <w:jc w:val="both"/>
        <w:rPr>
          <w:sz w:val="20"/>
          <w:szCs w:val="20"/>
        </w:rPr>
      </w:pPr>
      <w:r w:rsidRPr="00A0782F">
        <w:rPr>
          <w:color w:val="000000"/>
          <w:spacing w:val="-1"/>
          <w:sz w:val="20"/>
          <w:szCs w:val="20"/>
        </w:rPr>
        <w:t xml:space="preserve">По оценке в 2020 года ожидается произвести всего 68423 тн зерновых </w:t>
      </w:r>
    </w:p>
    <w:p w:rsidR="001C6FD2" w:rsidRPr="00A0782F" w:rsidRDefault="001C6FD2" w:rsidP="00577756">
      <w:pPr>
        <w:shd w:val="clear" w:color="auto" w:fill="FFFFFF"/>
        <w:spacing w:line="274" w:lineRule="exact"/>
        <w:ind w:left="5" w:right="10" w:firstLine="710"/>
        <w:jc w:val="both"/>
        <w:rPr>
          <w:sz w:val="20"/>
          <w:szCs w:val="20"/>
        </w:rPr>
      </w:pPr>
      <w:r w:rsidRPr="00A0782F">
        <w:rPr>
          <w:color w:val="000000"/>
          <w:sz w:val="20"/>
          <w:szCs w:val="20"/>
        </w:rPr>
        <w:t xml:space="preserve">По прогнозу предусмотрен рост объемов производства по всем наименованиям </w:t>
      </w:r>
      <w:r w:rsidRPr="00A0782F">
        <w:rPr>
          <w:color w:val="000000"/>
          <w:spacing w:val="-1"/>
          <w:sz w:val="20"/>
          <w:szCs w:val="20"/>
        </w:rPr>
        <w:t>продукции. В 2021 году планируется увеличение посевных площадей зерновых культур и соответственно увеличение валового сбора.</w:t>
      </w:r>
    </w:p>
    <w:p w:rsidR="001C6FD2" w:rsidRPr="00A0782F" w:rsidRDefault="001C6FD2" w:rsidP="00577756">
      <w:pPr>
        <w:shd w:val="clear" w:color="auto" w:fill="FFFFFF"/>
        <w:spacing w:before="10" w:line="274" w:lineRule="exact"/>
        <w:ind w:left="5" w:right="10" w:firstLine="379"/>
        <w:jc w:val="both"/>
        <w:rPr>
          <w:sz w:val="20"/>
          <w:szCs w:val="20"/>
        </w:rPr>
      </w:pPr>
      <w:r w:rsidRPr="00A0782F">
        <w:rPr>
          <w:color w:val="000000"/>
          <w:spacing w:val="57"/>
          <w:sz w:val="20"/>
          <w:szCs w:val="20"/>
        </w:rPr>
        <w:t xml:space="preserve">Для </w:t>
      </w:r>
      <w:r w:rsidRPr="00A0782F">
        <w:rPr>
          <w:color w:val="000000"/>
          <w:spacing w:val="-3"/>
          <w:sz w:val="20"/>
          <w:szCs w:val="20"/>
        </w:rPr>
        <w:t xml:space="preserve">стабилизации и  дальнейшего развития сельского хозяйства в первую очередь </w:t>
      </w:r>
      <w:r w:rsidRPr="00A0782F">
        <w:rPr>
          <w:color w:val="000000"/>
          <w:spacing w:val="2"/>
          <w:sz w:val="20"/>
          <w:szCs w:val="20"/>
        </w:rPr>
        <w:t xml:space="preserve">планируется расширение площадей под зерновые культуры до 15500 </w:t>
      </w:r>
      <w:r w:rsidRPr="00A0782F">
        <w:rPr>
          <w:color w:val="000000"/>
          <w:spacing w:val="-3"/>
          <w:sz w:val="20"/>
          <w:szCs w:val="20"/>
        </w:rPr>
        <w:t>гектаров</w:t>
      </w:r>
      <w:r w:rsidRPr="00A0782F">
        <w:rPr>
          <w:color w:val="000000"/>
          <w:spacing w:val="2"/>
          <w:sz w:val="20"/>
          <w:szCs w:val="20"/>
        </w:rPr>
        <w:t xml:space="preserve">  или  58% пашни</w:t>
      </w:r>
      <w:r w:rsidRPr="00A0782F">
        <w:rPr>
          <w:color w:val="000000"/>
          <w:spacing w:val="-3"/>
          <w:sz w:val="20"/>
          <w:szCs w:val="20"/>
        </w:rPr>
        <w:t>.</w:t>
      </w:r>
    </w:p>
    <w:p w:rsidR="001C6FD2" w:rsidRPr="00A0782F" w:rsidRDefault="001C6FD2" w:rsidP="00577756">
      <w:pPr>
        <w:shd w:val="clear" w:color="auto" w:fill="FFFFFF"/>
        <w:spacing w:line="274" w:lineRule="exact"/>
        <w:ind w:left="5" w:right="14" w:firstLine="715"/>
        <w:jc w:val="both"/>
        <w:rPr>
          <w:color w:val="000000"/>
          <w:sz w:val="20"/>
          <w:szCs w:val="20"/>
        </w:rPr>
      </w:pPr>
      <w:r w:rsidRPr="00A0782F">
        <w:rPr>
          <w:color w:val="000000"/>
          <w:spacing w:val="-1"/>
          <w:sz w:val="20"/>
          <w:szCs w:val="20"/>
        </w:rPr>
        <w:t xml:space="preserve">С учетом освоения программы развития увеличиваются площади и соответственно </w:t>
      </w:r>
      <w:r w:rsidRPr="00A0782F">
        <w:rPr>
          <w:color w:val="000000"/>
          <w:sz w:val="20"/>
          <w:szCs w:val="20"/>
        </w:rPr>
        <w:t xml:space="preserve">валовые сборы пропашно - технических, и плодово - ягодных культур.  Прогнозируется увеличение объемов производства плодово-ягодных культур на 3,8-4,2%. </w:t>
      </w:r>
    </w:p>
    <w:p w:rsidR="001C6FD2" w:rsidRPr="00A0782F" w:rsidRDefault="001C6FD2" w:rsidP="00577756">
      <w:pPr>
        <w:shd w:val="clear" w:color="auto" w:fill="FFFFFF"/>
        <w:spacing w:line="274" w:lineRule="exact"/>
        <w:ind w:right="5" w:firstLine="709"/>
        <w:jc w:val="both"/>
        <w:rPr>
          <w:color w:val="000000"/>
          <w:sz w:val="20"/>
          <w:szCs w:val="20"/>
        </w:rPr>
      </w:pPr>
      <w:r w:rsidRPr="00A0782F">
        <w:rPr>
          <w:color w:val="000000"/>
          <w:sz w:val="20"/>
          <w:szCs w:val="20"/>
        </w:rPr>
        <w:t xml:space="preserve">Начиная с 2021 года  по прогнозу ожидается увеличение производства животноводческой продукции в натуральном выражении на 3,6-4%. При более благоприятных условиях ожидается прирост объемов производства 4-5%.                         В денежном выражении ожидается увеличение объемов производства животноводческой продукции на 8,1-8,9 %. </w:t>
      </w:r>
    </w:p>
    <w:p w:rsidR="001C6FD2" w:rsidRPr="00A0782F" w:rsidRDefault="001C6FD2" w:rsidP="00577756">
      <w:pPr>
        <w:shd w:val="clear" w:color="auto" w:fill="FFFFFF"/>
        <w:spacing w:line="274" w:lineRule="exact"/>
        <w:ind w:right="5" w:firstLine="709"/>
        <w:jc w:val="both"/>
        <w:rPr>
          <w:color w:val="000000"/>
          <w:sz w:val="20"/>
          <w:szCs w:val="20"/>
        </w:rPr>
      </w:pPr>
      <w:r w:rsidRPr="00A0782F">
        <w:rPr>
          <w:color w:val="000000"/>
          <w:sz w:val="20"/>
          <w:szCs w:val="20"/>
        </w:rPr>
        <w:t xml:space="preserve">В районе наиболее успешно развивается и имеет хорошие перспективы свиноводство, которое занимает большую долю объемов производимой животноводческой продукции. </w:t>
      </w:r>
    </w:p>
    <w:p w:rsidR="001C6FD2" w:rsidRPr="00A0782F" w:rsidRDefault="001C6FD2" w:rsidP="00577756">
      <w:pPr>
        <w:shd w:val="clear" w:color="auto" w:fill="FFFFFF"/>
        <w:spacing w:before="5" w:line="274" w:lineRule="exact"/>
        <w:ind w:right="10" w:firstLine="715"/>
        <w:jc w:val="both"/>
        <w:rPr>
          <w:color w:val="000000"/>
          <w:spacing w:val="-1"/>
          <w:sz w:val="20"/>
          <w:szCs w:val="20"/>
        </w:rPr>
      </w:pPr>
      <w:r w:rsidRPr="00A0782F">
        <w:rPr>
          <w:color w:val="000000"/>
          <w:sz w:val="20"/>
          <w:szCs w:val="20"/>
        </w:rPr>
        <w:t xml:space="preserve">При составлении прогноза включены прогнозные данные по крупным хозяйствам </w:t>
      </w:r>
      <w:r w:rsidRPr="00A0782F">
        <w:rPr>
          <w:color w:val="000000"/>
          <w:spacing w:val="-1"/>
          <w:sz w:val="20"/>
          <w:szCs w:val="20"/>
        </w:rPr>
        <w:t>инвесторам –  ОСП  «Адыгейское» Агрокомплекса им. Ткачева, НАО «Киево-Жураки АПК»,   ООО «Синдика-Агро», ООО «Агромер», ООО «Агро-Юг», ООО «Шанс»,  ООО «Агрофирма Возрождение», ООО «Прикубанский»,                       ООО «Маарис».</w:t>
      </w:r>
    </w:p>
    <w:p w:rsidR="001C6FD2" w:rsidRPr="00A0782F" w:rsidRDefault="001C6FD2" w:rsidP="00815F82">
      <w:pPr>
        <w:ind w:firstLine="567"/>
        <w:jc w:val="center"/>
        <w:rPr>
          <w:b/>
          <w:bCs/>
          <w:sz w:val="20"/>
          <w:szCs w:val="20"/>
        </w:rPr>
      </w:pPr>
    </w:p>
    <w:p w:rsidR="001C6FD2" w:rsidRPr="00A0782F" w:rsidRDefault="001C6FD2" w:rsidP="00815F82">
      <w:pPr>
        <w:ind w:firstLine="567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Инвестиционная и внешнеэкономическая деятельность</w:t>
      </w:r>
    </w:p>
    <w:p w:rsidR="001C6FD2" w:rsidRPr="00A0782F" w:rsidRDefault="001C6FD2" w:rsidP="00815F82">
      <w:pPr>
        <w:ind w:firstLine="567"/>
        <w:jc w:val="center"/>
        <w:rPr>
          <w:b/>
          <w:bCs/>
          <w:sz w:val="20"/>
          <w:szCs w:val="20"/>
        </w:rPr>
      </w:pPr>
    </w:p>
    <w:p w:rsidR="001C6FD2" w:rsidRPr="00A0782F" w:rsidRDefault="001C6FD2" w:rsidP="002D7018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Прогноз социально-экономического развития Теучежского района на 2021-2023 годы  по разделу «Инвестиционная и внешнеэкономическая деятельность» разработан на основе утвержденной трехлетней  адресной инвестиционной программы района на 2021-2023 годы, в которой учтены объемы по строительству и реконструкции наиболее важных объектов, данных Краснодарской таможни Южного таможенного управления Федеральной таможенной службы Российской Федерации и мониторинга деятельности предприятий.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По состоянию на 1 января 2020 года на территории муниципального образования осуществляют деятельность 35  предприятий по виду экономической деятельности строительство.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Объемы работ выполняемых ими оценивается в 2020 году в сумме 3050 млн. рублей. В последующие годы прогнозируется рост объемов работ по первому варианту 100-101%, по второму варианту 100,5-102%.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2019 году внешняя экономическая деятельность по данным Краснодарской таможни Южного таможенного управления Федеральной таможенной службы Российской Федерации осуществлялась 4 предприятиями.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2019 году импорт товаров осуществлялся: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- ООО «Маэстроверде РР» - импорт сельскохозяйственной продукции из Италии.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- ООО «Вист и К» -импорт строительных материалов из Германии и Китая.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- ООО «Упак-Юг» - импорт оборудования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Экспорт товаров осуществляется: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- ООО «Вист и К» - экспорт строительных материалов в Абхазию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- ООО «Упак –Юг» - экспорт лотков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- ООО «Спецрыбзавод» - экспорт мальков рыб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- ООО «Никапанелс» -экспорт обогревателей.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Связи установлены, поставки будут осуществляться ежегодно.</w:t>
      </w:r>
    </w:p>
    <w:p w:rsidR="001C6FD2" w:rsidRPr="00A0782F" w:rsidRDefault="001C6FD2" w:rsidP="009D33B4">
      <w:pPr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  </w:t>
      </w:r>
      <w:r w:rsidRPr="00A0782F">
        <w:rPr>
          <w:sz w:val="20"/>
          <w:szCs w:val="20"/>
        </w:rPr>
        <w:tab/>
        <w:t xml:space="preserve">Прогноз объемов инвестиции в 2020 году оценивается в сумме 685,27 млн. рублей, или 100,56 % к уровню 2019 года. 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В 2021 году 745,52 млн. рублей, или 100,3% по первому варианту, 770,94 млн. рублей, или 107,35 % по второму. 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2022 году 799,92 млн. рублей, или 102,3 % по первому варианту, 832,23 млн. рублей, или 103,2 % по второму варианту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2023 году 856,35 млн. рублей, или 102,15 % по первому варианту, 900,50 млн. рублей, или 103,54 % по второму</w:t>
      </w:r>
      <w:r w:rsidRPr="00A0782F">
        <w:rPr>
          <w:color w:val="FF0000"/>
          <w:sz w:val="20"/>
          <w:szCs w:val="20"/>
        </w:rPr>
        <w:t xml:space="preserve"> </w:t>
      </w:r>
      <w:r w:rsidRPr="00A0782F">
        <w:rPr>
          <w:sz w:val="20"/>
          <w:szCs w:val="20"/>
        </w:rPr>
        <w:t xml:space="preserve">варианту. 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Объемы инвестиций в жилищное строительство рассчитаны исходя из параметров муниципального проекта «Жилье» и оцениваются в 2020 году в сумме 86,73 млн. рублей. Прогнозируется строительство только построенных населением жилых домов. В 2021 году 79,9 млн. рублей по первому варианту,  83,3 млн. рублей по второму варианту. В 2022 году 89,0 млн. рублей по первому варианту, 91,8 млн. рублей по второму варианту. И в 2023 году 95,6 млн. рублей по первому варианту, 98,6 млн. рублей по второму варианту.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Планируется реконструкция водопроводных сетей протяженностью 2,3 км.  на сумму 3,03 млн. рублей.</w:t>
      </w:r>
    </w:p>
    <w:p w:rsidR="001C6FD2" w:rsidRPr="00A0782F" w:rsidRDefault="001C6FD2" w:rsidP="009D33B4">
      <w:pPr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Наряду с этим так же прогнозируются объемы капитальных вложений в  строительство и реконструкцию объектов образования, культуры, спорта и строительство детских игровых площадок. </w:t>
      </w:r>
    </w:p>
    <w:p w:rsidR="001C6FD2" w:rsidRPr="00A0782F" w:rsidRDefault="001C6FD2" w:rsidP="00815F82">
      <w:pPr>
        <w:ind w:firstLine="567"/>
        <w:jc w:val="both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 xml:space="preserve"> </w:t>
      </w:r>
    </w:p>
    <w:p w:rsidR="001C6FD2" w:rsidRPr="00A0782F" w:rsidRDefault="001C6FD2" w:rsidP="00BB3B4C">
      <w:pPr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Малое и среднее предпринимательство</w:t>
      </w:r>
    </w:p>
    <w:p w:rsidR="001C6FD2" w:rsidRPr="00A0782F" w:rsidRDefault="001C6FD2" w:rsidP="00BB3B4C">
      <w:pPr>
        <w:jc w:val="center"/>
        <w:rPr>
          <w:b/>
          <w:bCs/>
          <w:sz w:val="20"/>
          <w:szCs w:val="20"/>
        </w:rPr>
      </w:pPr>
    </w:p>
    <w:p w:rsidR="001C6FD2" w:rsidRPr="00A0782F" w:rsidRDefault="001C6FD2" w:rsidP="009D33B4">
      <w:pPr>
        <w:pStyle w:val="BodyTextIndent"/>
        <w:ind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Теучежском районе по состоянию на 1 января 2020 года осуществляют свою деятельность 4 средних, 112 малых и микро предприятий и 443 предпринимателя без образования юридического лица. В прогнозируемом периоде количество хозяйствующих субъектов незначительно увеличивается.</w:t>
      </w:r>
    </w:p>
    <w:p w:rsidR="001C6FD2" w:rsidRPr="00A0782F" w:rsidRDefault="001C6FD2" w:rsidP="009D33B4">
      <w:pPr>
        <w:ind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этом секторе экономики в 2020 году  количество занятых оценивается в 591 человек, и количество занятых будет увеличиваться.</w:t>
      </w:r>
    </w:p>
    <w:p w:rsidR="001C6FD2" w:rsidRPr="00A0782F" w:rsidRDefault="001C6FD2" w:rsidP="009D33B4">
      <w:pPr>
        <w:ind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Оборот  средних предприятий оценивается в 2020 году в сумме 1358,9 млн. рублей, что составит 100,0% к соответствующему периоду прошлого года в сопоставимых ценах. В последующие годы прогнозируется увеличение оборота средних предприятий на 101,0%-102,0% по консервативному и базовому вариантам соответственно. </w:t>
      </w:r>
    </w:p>
    <w:p w:rsidR="001C6FD2" w:rsidRPr="00A0782F" w:rsidRDefault="001C6FD2" w:rsidP="009D33B4">
      <w:pPr>
        <w:ind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Оборот  малых предприятий оценивается в 2020 году в сумме 2100,00 млн. рублей, что составит 101% к соответствующему периоду прошлого года в сопоставимых ценах. В последующие годы прогнозируется увеличение оборота малых предприятий на 100,5%-102,0%. </w:t>
      </w:r>
    </w:p>
    <w:p w:rsidR="001C6FD2" w:rsidRPr="00A0782F" w:rsidRDefault="001C6FD2" w:rsidP="00BB3B4C">
      <w:pPr>
        <w:pStyle w:val="BodyTextIndent2"/>
        <w:spacing w:after="0" w:line="240" w:lineRule="auto"/>
        <w:ind w:left="0" w:firstLine="567"/>
        <w:jc w:val="center"/>
        <w:rPr>
          <w:b/>
          <w:bCs/>
          <w:sz w:val="20"/>
          <w:szCs w:val="20"/>
        </w:rPr>
      </w:pPr>
    </w:p>
    <w:p w:rsidR="001C6FD2" w:rsidRPr="00A0782F" w:rsidRDefault="001C6FD2" w:rsidP="00BB3B4C">
      <w:pPr>
        <w:pStyle w:val="BodyTextIndent2"/>
        <w:spacing w:after="0" w:line="240" w:lineRule="auto"/>
        <w:ind w:left="0" w:firstLine="567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Потребительский рынок</w:t>
      </w:r>
    </w:p>
    <w:p w:rsidR="001C6FD2" w:rsidRPr="00A0782F" w:rsidRDefault="001C6FD2" w:rsidP="00BB3B4C">
      <w:pPr>
        <w:pStyle w:val="BodyTextIndent2"/>
        <w:spacing w:after="0" w:line="240" w:lineRule="auto"/>
        <w:ind w:left="0" w:firstLine="567"/>
        <w:jc w:val="center"/>
        <w:rPr>
          <w:b/>
          <w:bCs/>
          <w:sz w:val="20"/>
          <w:szCs w:val="20"/>
        </w:rPr>
      </w:pPr>
    </w:p>
    <w:p w:rsidR="001C6FD2" w:rsidRPr="00A0782F" w:rsidRDefault="001C6FD2" w:rsidP="009D33B4">
      <w:pPr>
        <w:pStyle w:val="BodyTextIndent2"/>
        <w:spacing w:after="0" w:line="240" w:lineRule="auto"/>
        <w:ind w:left="0"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Прогноз социально-экономического развития потребительского рынка, разработан с учетом макроэкономических показателей  в целом по району. В прогнозе по Теучежскому району учтены показатели 136 предприятии торговли, 28 кафе,  33 АЗС,  6 аптек, 11 парикмахерских, 13 СТО, 10 автомоек, 7 торговых рядов.</w:t>
      </w:r>
    </w:p>
    <w:p w:rsidR="001C6FD2" w:rsidRPr="00A0782F" w:rsidRDefault="001C6FD2" w:rsidP="009D33B4">
      <w:pPr>
        <w:pStyle w:val="BodyTextIndent2"/>
        <w:spacing w:after="0" w:line="240" w:lineRule="auto"/>
        <w:ind w:left="0"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Розничный товарооборот в 2020 году  оценивается в сумме  1864,14 млн. рублей, или 95% к  факту 2019 года. Прогноз товарооборота в 2021 году составит 1934,98 млн. рублей или 100,0% по первому варианту, 1942,78 млн. рублей или 100,5% по второму варианту.  В 2022 году прогноз товарооборота достигнет 2030,55 млн. рублей или 101% по первому варианту, 2058,92 млн.рублей или 102% по второму варианту. В 2023 году прогноз товарооборота составит 2132,89 млн. рублей или 101% по первому варианту,  2184,10 млн. рублей или 102% по второму варианту.</w:t>
      </w:r>
    </w:p>
    <w:p w:rsidR="001C6FD2" w:rsidRPr="00A0782F" w:rsidRDefault="001C6FD2" w:rsidP="009D33B4">
      <w:pPr>
        <w:pStyle w:val="BodyTextIndent2"/>
        <w:spacing w:after="0" w:line="240" w:lineRule="auto"/>
        <w:ind w:left="0"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Оборот предприятий общественного питания в 2020 году оценивается  в сумме 97,47  млн. рублей или 100%. Прогноз  2021 года составит 102,58 млн. рублей или 101% по первому варианту,  103,3 млн. рублей или 102% по второму варианту.  В последующие годы  объемы предприятий общественного питания прогнозируются в пределах 101%   по первому варианту, 102% по второму варианту и по третьему вариантам.</w:t>
      </w:r>
    </w:p>
    <w:p w:rsidR="001C6FD2" w:rsidRPr="00A0782F" w:rsidRDefault="001C6FD2" w:rsidP="009D33B4">
      <w:pPr>
        <w:pStyle w:val="BodyTextIndent2"/>
        <w:spacing w:after="0" w:line="240" w:lineRule="auto"/>
        <w:ind w:left="0"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Объем платных услуг в 2020 году оцениваются в сумме 115,56 млн. рублей или 90% к уровню 2019 года. Прогноз платных услуг в 2021 году достигнет 119,95 млн. рублей или 100,0% по первому варианту, 120,55 млн. рублей или 100,5% по второму варианту.  В последующие годы прогнозируется рост платных услуг  в пределах 101% по первому варианту и 102 % по второму варианту. </w:t>
      </w:r>
    </w:p>
    <w:p w:rsidR="001C6FD2" w:rsidRPr="00A0782F" w:rsidRDefault="001C6FD2" w:rsidP="00BB3B4C">
      <w:pPr>
        <w:pStyle w:val="BodyTextIndent2"/>
        <w:spacing w:after="0" w:line="240" w:lineRule="auto"/>
        <w:ind w:left="0" w:firstLine="567"/>
        <w:jc w:val="both"/>
        <w:rPr>
          <w:sz w:val="20"/>
          <w:szCs w:val="20"/>
        </w:rPr>
      </w:pPr>
    </w:p>
    <w:p w:rsidR="001C6FD2" w:rsidRPr="00A0782F" w:rsidRDefault="001C6FD2" w:rsidP="00BB3B4C">
      <w:pPr>
        <w:pStyle w:val="BodyTextIndent2"/>
        <w:spacing w:after="0" w:line="240" w:lineRule="auto"/>
        <w:ind w:left="0" w:firstLine="567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Численность и занятость населения</w:t>
      </w:r>
    </w:p>
    <w:p w:rsidR="001C6FD2" w:rsidRPr="00A0782F" w:rsidRDefault="001C6FD2" w:rsidP="00BB3B4C">
      <w:pPr>
        <w:pStyle w:val="BodyTextIndent2"/>
        <w:spacing w:after="0" w:line="240" w:lineRule="auto"/>
        <w:ind w:left="0" w:firstLine="567"/>
        <w:jc w:val="center"/>
        <w:rPr>
          <w:sz w:val="20"/>
          <w:szCs w:val="20"/>
        </w:rPr>
      </w:pPr>
    </w:p>
    <w:p w:rsidR="001C6FD2" w:rsidRPr="00A0782F" w:rsidRDefault="001C6FD2" w:rsidP="009D33B4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Прогноз развития демографии, численности и занятости населения на 2022- 2023 годы разработан с учетом сложившейся ситуации и намерений хозяйствующих субъектов, осуществляющих деятельность на территории района.</w:t>
      </w:r>
    </w:p>
    <w:p w:rsidR="001C6FD2" w:rsidRPr="00A0782F" w:rsidRDefault="001C6FD2" w:rsidP="009D33B4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Тенденция снижения численности населения  еще не преодолена. По оценке в 2020 году численность населения составит 20256 человек  и в последующие годы продолжается. Тенденция более высокого уровня смертности населения по сравнению с уровнем рождаемости сохраняется.</w:t>
      </w:r>
    </w:p>
    <w:p w:rsidR="001C6FD2" w:rsidRPr="00A0782F" w:rsidRDefault="001C6FD2" w:rsidP="009D33B4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Прогнозируется незначительный рост количества занятых в экономике района.</w:t>
      </w:r>
    </w:p>
    <w:p w:rsidR="001C6FD2" w:rsidRPr="00A0782F" w:rsidRDefault="001C6FD2" w:rsidP="009D33B4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Фонд оплаты труда  в 2020 году ожидается в сумме 1510,2 млн. рублей или  107,0 % к уровню 2019 года. В 2021 году фонд оплаты труда составит 1615,9 млн. рублей или 107,0% по первому варианту, 1631,0 млн. рублей или 108,0% по второму варианту. В дальнейшем тенденция роста заработной платы сохраняется в пределах 107,0 %-108,0% по первому и второму вариантам соответственно.</w:t>
      </w:r>
    </w:p>
    <w:p w:rsidR="001C6FD2" w:rsidRPr="00A0782F" w:rsidRDefault="001C6FD2" w:rsidP="009D33B4">
      <w:pPr>
        <w:ind w:firstLine="54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При расчете фонда оплаты труда по бюджетным организациям учитывались средства, направляемые из бюджета и доплаты, предусмотренные при реализации национальных проектов, майских Указов и иных решений Президента Российской Федерации.</w:t>
      </w:r>
    </w:p>
    <w:p w:rsidR="001C6FD2" w:rsidRPr="00A0782F" w:rsidRDefault="001C6FD2" w:rsidP="00BB3B4C">
      <w:pPr>
        <w:ind w:firstLine="540"/>
        <w:jc w:val="both"/>
        <w:rPr>
          <w:sz w:val="20"/>
          <w:szCs w:val="20"/>
        </w:rPr>
      </w:pPr>
    </w:p>
    <w:p w:rsidR="001C6FD2" w:rsidRPr="00A0782F" w:rsidRDefault="001C6FD2" w:rsidP="00BB3B4C">
      <w:pPr>
        <w:ind w:firstLine="540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Финансы</w:t>
      </w:r>
    </w:p>
    <w:p w:rsidR="001C6FD2" w:rsidRPr="00A0782F" w:rsidRDefault="001C6FD2" w:rsidP="00BB3B4C">
      <w:pPr>
        <w:ind w:firstLine="540"/>
        <w:jc w:val="center"/>
        <w:rPr>
          <w:sz w:val="20"/>
          <w:szCs w:val="20"/>
        </w:rPr>
      </w:pPr>
    </w:p>
    <w:p w:rsidR="001C6FD2" w:rsidRPr="00A0782F" w:rsidRDefault="001C6FD2" w:rsidP="009D33B4">
      <w:pPr>
        <w:ind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Прибыль прибыльных организаций в 2020 году оценивается в сумме 336 млн. рублей, в том числе налогооблагаемая прибыль составит 328 млн. рублей. В последующие годы прогнозируется рост объемов прибыли, в том числе и налогооблагаемой прибыли.</w:t>
      </w:r>
    </w:p>
    <w:p w:rsidR="001C6FD2" w:rsidRPr="00A0782F" w:rsidRDefault="001C6FD2" w:rsidP="002D7018">
      <w:pPr>
        <w:ind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Стоимость основных фондов в 2020 году оцениваются в сумме 3130,5 млн. рублей, в том числе амортизационные отчисления составят 65,7 млн. рублей. В последующие годы прогнозируется увеличение стоимости основных фондов и как следствие увеличение и амортизационных отчислений.</w:t>
      </w:r>
    </w:p>
    <w:p w:rsidR="001C6FD2" w:rsidRPr="00A0782F" w:rsidRDefault="001C6FD2" w:rsidP="002D7018">
      <w:pPr>
        <w:ind w:firstLine="567"/>
        <w:jc w:val="both"/>
        <w:rPr>
          <w:sz w:val="20"/>
          <w:szCs w:val="20"/>
        </w:rPr>
      </w:pPr>
    </w:p>
    <w:p w:rsidR="001C6FD2" w:rsidRPr="00A0782F" w:rsidRDefault="001C6FD2" w:rsidP="002D7018">
      <w:pPr>
        <w:ind w:firstLine="567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Топливно-энергетический комплекс</w:t>
      </w:r>
    </w:p>
    <w:p w:rsidR="001C6FD2" w:rsidRPr="00A0782F" w:rsidRDefault="001C6FD2" w:rsidP="00BB3B4C">
      <w:pPr>
        <w:pStyle w:val="BodyTextIndent2"/>
        <w:spacing w:after="0" w:line="240" w:lineRule="auto"/>
        <w:ind w:firstLine="567"/>
        <w:jc w:val="center"/>
        <w:rPr>
          <w:sz w:val="20"/>
          <w:szCs w:val="20"/>
        </w:rPr>
      </w:pP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ходе разработки прогноза социально-экономического развития Теучежского района на 2021 год и на период до 2023 года проведен мониторинг предприятий, осуществляющих реализацию ГСМ на территории Теучежского района.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По состоянию на 1 июля 2020 года в районе осуществляют финансово хозяйственную деятельность 34  автозаправочных станций, в том числе 1 ведомственная - ООО фирмы «Дортранссервис».  6 заправочных станций реализуют только газ. 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Фактические данные, оценка 2020 года  и прогнозные показатели на 2021-2023 годы рассчитаны по данным предоставленным предприятиями, осуществляющими реализацию горюче-смазочных материалов на территории Теучежского района.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Объемы реализации горюче-смазочных материалов за 2019 год составили 33411,3 тонны. Однако эти цифры не окончательны, в связи с тем, что объемы реализации не всех компаний учтены из-за их отказа предоставить информацию.  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2020 году объемы реализации уменьшаться из-за пандемии и составят 30070,2 тонн. Далее предусматривается увеличение количества реализовываемой продукции ежегодно на 0,5 - 2%. Данный рост обусловлен  ежегодным увеличением транспортного потока по федеральным автомагистралям М 4 «Дон» и А-160 «Майкоп-Бжедугхабль-Адыгейск-Усть-Лабинск-Кореновск».</w:t>
      </w:r>
    </w:p>
    <w:p w:rsidR="001C6FD2" w:rsidRPr="00A0782F" w:rsidRDefault="001C6FD2" w:rsidP="009D33B4">
      <w:pPr>
        <w:pStyle w:val="BodyText"/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A0782F">
        <w:rPr>
          <w:color w:val="000000"/>
          <w:sz w:val="20"/>
          <w:szCs w:val="20"/>
          <w:shd w:val="clear" w:color="auto" w:fill="FFFFFF"/>
        </w:rPr>
        <w:t xml:space="preserve">Расхождение в данных по реализации горючих смазочных материалов на территории муниципального образования и их потреблением обусловлено тем, что на автозаправочных станциях обслуживается не только жители района, но и значительное количество транзитного автотранспорта на автомобильных дорогах общего пользования федерального значения. 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При расчетах объемов закупок энергоносителей для муниципальных нужд предусматривается незначительный рост их потребления. 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Населению района осуществляется поставка дров, сведений о потреблении угля населением нет.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Данные по потреблению природного газа и электроэнергии по группам потребителей предоставлены ООО «Газпром межрегионгаз Майкоп»  и Теучежским участком ОАО «Кубаньэнергосбыт».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Предусматривается увеличение потребления электроэнергии, как по хозрасчетным потребителям, так и по населению.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С учетом реализации программы по энергосбережению, планируемые объемы достаточны.</w:t>
      </w:r>
    </w:p>
    <w:p w:rsidR="001C6FD2" w:rsidRPr="00A0782F" w:rsidRDefault="001C6FD2" w:rsidP="00BB3B4C">
      <w:pPr>
        <w:pStyle w:val="BodyTextIndent2"/>
        <w:spacing w:after="0" w:line="240" w:lineRule="auto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Транспорт</w:t>
      </w:r>
    </w:p>
    <w:p w:rsidR="001C6FD2" w:rsidRPr="00A0782F" w:rsidRDefault="001C6FD2" w:rsidP="00BB3B4C">
      <w:pPr>
        <w:pStyle w:val="BodyTextIndent2"/>
        <w:spacing w:after="0" w:line="240" w:lineRule="auto"/>
        <w:jc w:val="center"/>
        <w:rPr>
          <w:sz w:val="20"/>
          <w:szCs w:val="20"/>
        </w:rPr>
      </w:pP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В районе общая протяженность автомобильных дорог составляет 330 км, из них протяженность дорог с твердым покрытием составляет  215 км. </w:t>
      </w:r>
    </w:p>
    <w:p w:rsidR="001C6FD2" w:rsidRPr="00A0782F" w:rsidRDefault="001C6FD2" w:rsidP="009D33B4">
      <w:pPr>
        <w:pStyle w:val="BodyText"/>
        <w:ind w:firstLine="709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По территории района проходит 2 федеральные автомагистральные автомагистрали  М-4 «ДОН»  и А-160 «Майкоп-Усть-Лабинск-Кореновск», протяженность которых составляет  51,3 км.  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Перевозка пассажиров на территории района в основном осуществляется предпринимателями без образования юридического лица маршрутными микроавтобусами по маршрутам а. Понежукай - г. Краснодар,  п. Тлюстенхабль –г. Краснодар, в связи, с чем отсутствуют данные по пассажирообороту.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При разработке прогноза учтены намерения предприятий на 2021 год и на перспективу, осуществляющих перевозку грузов на коммерческой основе. 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В среднем планируется увеличение грузооборота ежегодно на 101% по консервативному варианту и на 101,5% по базовому варианту.</w:t>
      </w:r>
    </w:p>
    <w:p w:rsidR="001C6FD2" w:rsidRPr="00A0782F" w:rsidRDefault="001C6FD2" w:rsidP="009D33B4">
      <w:pPr>
        <w:pStyle w:val="BodyText"/>
        <w:ind w:firstLine="720"/>
        <w:jc w:val="both"/>
        <w:rPr>
          <w:sz w:val="20"/>
          <w:szCs w:val="20"/>
        </w:rPr>
      </w:pPr>
    </w:p>
    <w:p w:rsidR="001C6FD2" w:rsidRPr="00A0782F" w:rsidRDefault="001C6FD2" w:rsidP="008E2DA8">
      <w:pPr>
        <w:pStyle w:val="BodyTextIndent2"/>
        <w:spacing w:after="0" w:line="240" w:lineRule="auto"/>
        <w:ind w:firstLine="284"/>
        <w:jc w:val="center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Развитие сферы туризма</w:t>
      </w:r>
    </w:p>
    <w:p w:rsidR="001C6FD2" w:rsidRPr="00A0782F" w:rsidRDefault="001C6FD2" w:rsidP="008E2DA8">
      <w:pPr>
        <w:pStyle w:val="BodyTextIndent2"/>
        <w:spacing w:after="0" w:line="240" w:lineRule="auto"/>
        <w:ind w:firstLine="284"/>
        <w:jc w:val="center"/>
        <w:rPr>
          <w:sz w:val="20"/>
          <w:szCs w:val="20"/>
        </w:rPr>
      </w:pPr>
    </w:p>
    <w:p w:rsidR="001C6FD2" w:rsidRPr="00A0782F" w:rsidRDefault="001C6FD2" w:rsidP="00AA20A4">
      <w:pPr>
        <w:pStyle w:val="BodyText"/>
        <w:ind w:firstLine="720"/>
        <w:jc w:val="both"/>
        <w:rPr>
          <w:sz w:val="20"/>
          <w:szCs w:val="20"/>
        </w:rPr>
      </w:pPr>
      <w:r w:rsidRPr="00A0782F">
        <w:rPr>
          <w:sz w:val="20"/>
          <w:szCs w:val="20"/>
        </w:rPr>
        <w:t xml:space="preserve">По состоянию на 14 июля 2020 года на территории муниципального образования «Теучежский район» нет предприятий осуществляющих деятельность в сфере туризма и нет предпосылок для прогнозирования развития отрасли на период до 2023 года. </w:t>
      </w:r>
    </w:p>
    <w:p w:rsidR="001C6FD2" w:rsidRPr="00A0782F" w:rsidRDefault="001C6FD2" w:rsidP="00BB3B4C">
      <w:pPr>
        <w:pStyle w:val="BodyText"/>
        <w:ind w:firstLine="567"/>
        <w:jc w:val="both"/>
        <w:rPr>
          <w:sz w:val="20"/>
          <w:szCs w:val="20"/>
        </w:rPr>
      </w:pPr>
    </w:p>
    <w:p w:rsidR="001C6FD2" w:rsidRPr="00A0782F" w:rsidRDefault="001C6FD2" w:rsidP="00BB3B4C">
      <w:pPr>
        <w:pStyle w:val="BodyText"/>
        <w:ind w:firstLine="567"/>
        <w:jc w:val="both"/>
        <w:rPr>
          <w:sz w:val="20"/>
          <w:szCs w:val="20"/>
        </w:rPr>
      </w:pPr>
      <w:r w:rsidRPr="00A0782F">
        <w:rPr>
          <w:sz w:val="20"/>
          <w:szCs w:val="20"/>
        </w:rPr>
        <w:t>Прогноз разработан, исходя из намерений и планов предприятий, реален и выполним.</w:t>
      </w:r>
    </w:p>
    <w:p w:rsidR="001C6FD2" w:rsidRPr="00A0782F" w:rsidRDefault="001C6FD2" w:rsidP="00BB3B4C">
      <w:pPr>
        <w:jc w:val="center"/>
        <w:rPr>
          <w:b/>
          <w:bCs/>
          <w:sz w:val="20"/>
          <w:szCs w:val="20"/>
        </w:rPr>
      </w:pPr>
    </w:p>
    <w:p w:rsidR="001C6FD2" w:rsidRPr="00A0782F" w:rsidRDefault="001C6FD2" w:rsidP="00BB3B4C">
      <w:pPr>
        <w:jc w:val="both"/>
        <w:rPr>
          <w:b/>
          <w:bCs/>
          <w:sz w:val="20"/>
          <w:szCs w:val="20"/>
        </w:rPr>
      </w:pPr>
    </w:p>
    <w:p w:rsidR="001C6FD2" w:rsidRPr="00A0782F" w:rsidRDefault="001C6FD2" w:rsidP="00BB3B4C">
      <w:pPr>
        <w:jc w:val="both"/>
        <w:rPr>
          <w:b/>
          <w:bCs/>
          <w:sz w:val="20"/>
          <w:szCs w:val="20"/>
        </w:rPr>
      </w:pPr>
    </w:p>
    <w:p w:rsidR="001C6FD2" w:rsidRPr="00A0782F" w:rsidRDefault="001C6FD2" w:rsidP="00BB3B4C">
      <w:pPr>
        <w:jc w:val="both"/>
        <w:rPr>
          <w:b/>
          <w:bCs/>
          <w:sz w:val="20"/>
          <w:szCs w:val="20"/>
        </w:rPr>
      </w:pPr>
      <w:r w:rsidRPr="00A0782F">
        <w:rPr>
          <w:b/>
          <w:bCs/>
          <w:sz w:val="20"/>
          <w:szCs w:val="20"/>
        </w:rPr>
        <w:t>Начальник управления</w:t>
      </w:r>
    </w:p>
    <w:p w:rsidR="001C6FD2" w:rsidRPr="00A0782F" w:rsidRDefault="001C6FD2" w:rsidP="00A0782F">
      <w:pPr>
        <w:jc w:val="both"/>
        <w:rPr>
          <w:sz w:val="20"/>
          <w:szCs w:val="20"/>
        </w:rPr>
      </w:pPr>
      <w:r w:rsidRPr="00A0782F">
        <w:rPr>
          <w:b/>
          <w:bCs/>
          <w:sz w:val="20"/>
          <w:szCs w:val="20"/>
        </w:rPr>
        <w:t>экономического развития и торговли                                               М.Н. Женетль</w:t>
      </w:r>
    </w:p>
    <w:p w:rsidR="001C6FD2" w:rsidRPr="00A0782F" w:rsidRDefault="001C6FD2">
      <w:pPr>
        <w:rPr>
          <w:sz w:val="20"/>
          <w:szCs w:val="20"/>
        </w:rPr>
      </w:pPr>
    </w:p>
    <w:sectPr w:rsidR="001C6FD2" w:rsidRPr="00A0782F" w:rsidSect="00A0782F">
      <w:pgSz w:w="11906" w:h="16838" w:code="9"/>
      <w:pgMar w:top="539" w:right="386" w:bottom="5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787A"/>
    <w:multiLevelType w:val="hybridMultilevel"/>
    <w:tmpl w:val="4D7CE8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">
    <w:nsid w:val="77A262CC"/>
    <w:multiLevelType w:val="hybridMultilevel"/>
    <w:tmpl w:val="08B8F41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B4C"/>
    <w:rsid w:val="00005A29"/>
    <w:rsid w:val="00044886"/>
    <w:rsid w:val="000777D7"/>
    <w:rsid w:val="000919F9"/>
    <w:rsid w:val="000B26E0"/>
    <w:rsid w:val="00134123"/>
    <w:rsid w:val="001B3191"/>
    <w:rsid w:val="001C6FD2"/>
    <w:rsid w:val="001D7F0C"/>
    <w:rsid w:val="002018A9"/>
    <w:rsid w:val="00244449"/>
    <w:rsid w:val="00246343"/>
    <w:rsid w:val="002470E6"/>
    <w:rsid w:val="00252526"/>
    <w:rsid w:val="002B0FC1"/>
    <w:rsid w:val="002D4169"/>
    <w:rsid w:val="002D7018"/>
    <w:rsid w:val="003143E5"/>
    <w:rsid w:val="003314CD"/>
    <w:rsid w:val="00340DBF"/>
    <w:rsid w:val="003506A3"/>
    <w:rsid w:val="0039110A"/>
    <w:rsid w:val="003C2D2E"/>
    <w:rsid w:val="003E2F9B"/>
    <w:rsid w:val="004178F8"/>
    <w:rsid w:val="00463584"/>
    <w:rsid w:val="00480AC1"/>
    <w:rsid w:val="00542B99"/>
    <w:rsid w:val="00577756"/>
    <w:rsid w:val="005846B3"/>
    <w:rsid w:val="005A292B"/>
    <w:rsid w:val="005C516B"/>
    <w:rsid w:val="005E7E23"/>
    <w:rsid w:val="006445ED"/>
    <w:rsid w:val="00687686"/>
    <w:rsid w:val="006C7369"/>
    <w:rsid w:val="006E6C5E"/>
    <w:rsid w:val="00750C3D"/>
    <w:rsid w:val="007815F3"/>
    <w:rsid w:val="007C3871"/>
    <w:rsid w:val="00815F82"/>
    <w:rsid w:val="008E2DA8"/>
    <w:rsid w:val="009A3FC3"/>
    <w:rsid w:val="009D01F4"/>
    <w:rsid w:val="009D33B4"/>
    <w:rsid w:val="009F1CDB"/>
    <w:rsid w:val="00A0782F"/>
    <w:rsid w:val="00A764B2"/>
    <w:rsid w:val="00A85CF9"/>
    <w:rsid w:val="00AA20A4"/>
    <w:rsid w:val="00AA2705"/>
    <w:rsid w:val="00AF3194"/>
    <w:rsid w:val="00B26B6E"/>
    <w:rsid w:val="00B73C88"/>
    <w:rsid w:val="00BB3B4C"/>
    <w:rsid w:val="00BE1028"/>
    <w:rsid w:val="00BF33F3"/>
    <w:rsid w:val="00C235A3"/>
    <w:rsid w:val="00C26B58"/>
    <w:rsid w:val="00C46351"/>
    <w:rsid w:val="00C622CB"/>
    <w:rsid w:val="00CD72F1"/>
    <w:rsid w:val="00D15E37"/>
    <w:rsid w:val="00D4209C"/>
    <w:rsid w:val="00DD6EB0"/>
    <w:rsid w:val="00E14DF0"/>
    <w:rsid w:val="00E30B59"/>
    <w:rsid w:val="00E65F0D"/>
    <w:rsid w:val="00FA158C"/>
    <w:rsid w:val="00FB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B3B4C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3B4C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B3B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3B4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B3B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B3B4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2147</Words>
  <Characters>12240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ПОЯСНЕНИЕ</dc:title>
  <dc:subject/>
  <dc:creator>user</dc:creator>
  <cp:keywords/>
  <dc:description/>
  <cp:lastModifiedBy>Панеш</cp:lastModifiedBy>
  <cp:revision>2</cp:revision>
  <cp:lastPrinted>2019-08-08T10:11:00Z</cp:lastPrinted>
  <dcterms:created xsi:type="dcterms:W3CDTF">2020-10-08T08:24:00Z</dcterms:created>
  <dcterms:modified xsi:type="dcterms:W3CDTF">2020-10-08T08:24:00Z</dcterms:modified>
</cp:coreProperties>
</file>