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6"/>
        <w:ind w:left="0" w:right="0" w:firstLine="0"/>
        <w:jc w:val="center"/>
        <w:spacing w:before="0" w:after="0" w:line="71" w:lineRule="atLeast"/>
        <w:shd w:val="clear" w:color="ffffff" w:fill="ffffff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Несовершеннолетние в сделке: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итоги горячей линии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683"/>
        <w:ind w:left="0" w:right="0" w:firstLine="0"/>
        <w:jc w:val="both"/>
        <w:spacing w:before="285" w:after="285"/>
        <w:rPr>
          <w:rFonts w:ascii="Liberation Sans" w:hAnsi="Liberation Sans" w:eastAsia="Liberation Sans" w:cs="Liberation Sans"/>
          <w:color w:val="000000"/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2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0 ноября эксперты Росреестра присоединились к акции «День правовой помощи детям». В этот день, в рамках горячей линии специалисты Управления Росреестра по Республике Адыгея и регионального Роскадастра ответили на вопросы жителей республики о том, как защити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ть имущественные права несовершеннолетних.</w:t>
      </w:r>
      <w:r>
        <w:rPr>
          <w:rFonts w:ascii="Liberation Sans" w:hAnsi="Liberation Sans" w:eastAsia="Liberation Sans" w:cs="Liberation Sans"/>
          <w:color w:val="000000"/>
          <w:sz w:val="23"/>
          <w:szCs w:val="23"/>
          <w:highlight w:val="white"/>
        </w:rPr>
      </w:r>
      <w:r/>
    </w:p>
    <w:p>
      <w:pPr>
        <w:pStyle w:val="683"/>
        <w:ind w:left="0" w:right="0" w:firstLine="0"/>
        <w:jc w:val="both"/>
        <w:spacing w:before="285" w:after="285"/>
        <w:rPr>
          <w:rFonts w:ascii="Tinos" w:hAnsi="Tinos" w:cs="Tinos"/>
          <w:color w:val="000000" w:themeColor="text1"/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3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</w:rPr>
        <w:t xml:space="preserve">Круг вопросов, волнующих родителей, очень большой. Значительная часть из них касается улучшения жилищных условий семьи. Взрослым, решившимся на такой ответственный шаг необходимо взвесить все «за» и «против» предстоящего события. Поэтому эта тема у жителей</w:t>
      </w:r>
      <w:r>
        <w:rPr>
          <w:rFonts w:ascii="Tinos" w:hAnsi="Tinos" w:eastAsia="Tinos" w:cs="Tinos"/>
          <w:color w:val="000000" w:themeColor="text1"/>
          <w:sz w:val="28"/>
        </w:rPr>
        <w:t xml:space="preserve"> региона очень актуальна.</w:t>
      </w:r>
      <w:r>
        <w:rPr>
          <w:rFonts w:ascii="Tinos" w:hAnsi="Tinos" w:cs="Tinos"/>
          <w:color w:val="000000" w:themeColor="text1"/>
          <w:sz w:val="23"/>
          <w:szCs w:val="23"/>
          <w:highlight w:val="white"/>
        </w:rPr>
      </w:r>
      <w:r>
        <w:rPr>
          <w:rFonts w:ascii="Tinos" w:hAnsi="Tinos" w:cs="Tinos"/>
          <w:color w:val="000000" w:themeColor="text1"/>
          <w:sz w:val="23"/>
          <w:szCs w:val="23"/>
          <w:highlight w:val="white"/>
        </w:rPr>
      </w:r>
    </w:p>
    <w:p>
      <w:pPr>
        <w:pStyle w:val="683"/>
        <w:ind w:left="0" w:right="0" w:firstLine="0"/>
        <w:jc w:val="both"/>
        <w:spacing w:before="285" w:after="285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Не всегда собственника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ми недвижимости становятся взрослые, готовые к самостоятельной жизни люди. Жизненные ситуации складываются по-разному и иногда собственниками недвижимости становятся совсем юные граждане, которым без помощи взрослых не разобраться в п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равовых нюансах, связанных с недвижимостью. Наши специалисты помогают разобраться в тонкостях сделок с участием несовершеннолетних, выступая в интересах детей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», –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отметила руководитель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Родители, обратившиеся на горячую линию, часто задавали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вопрос:</w:t>
      </w:r>
      <w:r>
        <w:rPr>
          <w:rFonts w:ascii="Tinos" w:hAnsi="Tinos" w:eastAsia="Tinos" w:cs="Tinos"/>
          <w:b w:val="0"/>
          <w:bCs w:val="0"/>
          <w:color w:val="000000" w:themeColor="text1"/>
        </w:rPr>
        <w:t xml:space="preserve">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</w:rPr>
        <w:t xml:space="preserve">требуется ли согласие органов опеки при дарении доли квартиры несовершеннолетнему, если на объекте недвижимости имеется ипотека?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</w:rPr>
        <w:t xml:space="preserve">сли в отношении объекта недвижимого имущества или права на объект недвижимости осуществлена государственная регистрация ипотеки, то государственная регистрация перехода права собственности на такой объект недвижимости осуществляется при наличии письменног</w:t>
      </w:r>
      <w:r>
        <w:rPr>
          <w:rFonts w:ascii="Tinos" w:hAnsi="Tinos" w:eastAsia="Tinos" w:cs="Tinos"/>
          <w:color w:val="000000" w:themeColor="text1"/>
          <w:sz w:val="28"/>
        </w:rPr>
        <w:t xml:space="preserve">о согласия залогодержателя, если иное не установлено федеральным законом или договором об ипотеке. При государственной регистрации перехода права собственности на такой объект недвижимости запись, содержащаяся в Едином государственном реестре недвижимости,</w:t>
      </w:r>
      <w:r>
        <w:rPr>
          <w:rFonts w:ascii="Tinos" w:hAnsi="Tinos" w:eastAsia="Tinos" w:cs="Tinos"/>
          <w:color w:val="000000" w:themeColor="text1"/>
          <w:sz w:val="28"/>
        </w:rPr>
        <w:t xml:space="preserve"> о государственной регистрации ипотеки такого объекта недвижимости сохраняется.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В такой ситуации «новая» ипотека не возникает, а к одаряемому (несовершеннолетнему) переходит право собственности на объект недвижимости с обременением в виде ипотеки, разрешение органа опеки и попечительства в таком случае не требуется.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1"/>
          <w:szCs w:val="21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b w:val="0"/>
          <w:bCs/>
          <w:i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</w:rPr>
        <w:t xml:space="preserve"> Жительница ст. Даховской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</w:rPr>
        <w:t xml:space="preserve">обратилась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</w:rPr>
        <w:t xml:space="preserve"> с вопросом о продаже жилого дома, который по наследству достался ее 10-летнему сыну, права на который они зарегистрировали.</w:t>
      </w:r>
      <w:r>
        <w:rPr>
          <w:rFonts w:ascii="Tinos" w:hAnsi="Tinos" w:cs="Tinos"/>
          <w:b w:val="0"/>
          <w:bCs/>
          <w:i/>
          <w:color w:val="000000" w:themeColor="text1"/>
        </w:rPr>
      </w:r>
      <w:r>
        <w:rPr>
          <w:rFonts w:ascii="Tinos" w:hAnsi="Tinos" w:cs="Tinos"/>
          <w:b w:val="0"/>
          <w:bCs/>
          <w:i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8"/>
        </w:rPr>
        <w:t xml:space="preserve">«Какие потребуются документы для продажи?» - поинтересовалась мать.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highlight w:val="none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Недвижимость, собственником которой является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выделить доли из имущества ребёнка без предварите</w:t>
      </w:r>
      <w:r>
        <w:rPr>
          <w:rFonts w:ascii="Tinos" w:hAnsi="Tinos" w:eastAsia="Tinos" w:cs="Tinos"/>
          <w:color w:val="000000" w:themeColor="text1"/>
          <w:sz w:val="28"/>
        </w:rPr>
        <w:t xml:space="preserve">льного разрешения органов опеки и попечительства.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При этом разрешение, выданное органом опеки и попечительства, как правило, содержит определенное условие.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Например, приобретение в собственность ребенка другого недвижимого имущества взамен отчуждаемого.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</w:rPr>
        <w:t xml:space="preserve">Органы опеки особенно внимательно относятся к сделкам, совершаемым с несовершеннолетними и ограниченно дееспособными детьми. Без участия нотариуса такая сделка невозможна. Помощь нотариуса нужна для удостоверения договора купли-продажи. Несоблюдение нотари</w:t>
      </w:r>
      <w:r>
        <w:rPr>
          <w:rFonts w:ascii="Tinos" w:hAnsi="Tinos" w:eastAsia="Tinos" w:cs="Tinos"/>
          <w:color w:val="000000" w:themeColor="text1"/>
          <w:sz w:val="28"/>
        </w:rPr>
        <w:t xml:space="preserve">альной формы сделки влечет ее ничтожность.</w:t>
      </w:r>
      <w:r>
        <w:rPr>
          <w:rFonts w:ascii="Tinos" w:hAnsi="Tinos" w:cs="Tinos"/>
          <w:color w:val="000000" w:themeColor="text1"/>
        </w:rPr>
      </w:r>
      <w:r>
        <w:rPr>
          <w:rFonts w:ascii="Tinos" w:hAnsi="Tinos" w:cs="Tinos"/>
          <w:color w:val="000000" w:themeColor="text1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highlight w:val="none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  <w:r>
        <w:rPr>
          <w:rFonts w:ascii="Tinos" w:hAnsi="Tinos" w:cs="Tinos"/>
          <w:color w:val="000000" w:themeColor="text1"/>
          <w:sz w:val="21"/>
          <w:szCs w:val="21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Также большой популярностью пользовались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вопросы, связанные с приобретением недвижимого имущества с участием материнского капитала. Граждан интересовало как правильно выделить доли, можн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 ли указать долю только одного ребенка, при каких условиях можно продать недвижимость, приобретенную за счет средств материнского капитала, 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как проверить собственника при покупке жилья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 т.д.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0"/>
        <w:jc w:val="both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«</w:t>
      </w:r>
      <w:r>
        <w:rPr>
          <w:bCs/>
          <w:i/>
          <w:sz w:val="28"/>
          <w:szCs w:val="28"/>
        </w:rPr>
        <w:t xml:space="preserve">Прямое общение с гражданами способствует качественному и быстрому решению конкретных личных вопросов. В ходе консультирования </w:t>
      </w:r>
      <w:r>
        <w:rPr>
          <w:bCs/>
          <w:i/>
          <w:sz w:val="28"/>
          <w:szCs w:val="28"/>
        </w:rPr>
        <w:t xml:space="preserve">жители республики </w:t>
      </w:r>
      <w:r>
        <w:rPr>
          <w:bCs/>
          <w:i/>
          <w:sz w:val="28"/>
          <w:szCs w:val="28"/>
        </w:rPr>
        <w:t xml:space="preserve">смогли получить</w:t>
      </w:r>
      <w:r>
        <w:rPr>
          <w:bCs/>
          <w:i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разъяснения от</w:t>
      </w:r>
      <w:r>
        <w:rPr>
          <w:bCs/>
          <w:i/>
          <w:sz w:val="28"/>
          <w:szCs w:val="28"/>
        </w:rPr>
        <w:t xml:space="preserve"> специалистов, непосредственно занятых в учетно-регистрационной сфере</w:t>
      </w:r>
      <w:r>
        <w:rPr>
          <w:rFonts w:eastAsia="Calibri"/>
          <w:bCs/>
          <w:i/>
          <w:sz w:val="28"/>
          <w:szCs w:val="28"/>
        </w:rPr>
        <w:t xml:space="preserve">»,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прокомментировал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директор </w:t>
      </w:r>
      <w:r>
        <w:rPr>
          <w:b/>
          <w:bCs/>
          <w:sz w:val="28"/>
          <w:szCs w:val="28"/>
        </w:rPr>
        <w:t xml:space="preserve">Роскадастра по Республике Адыгея</w:t>
      </w:r>
      <w:r>
        <w:rPr>
          <w:b/>
          <w:bCs/>
          <w:sz w:val="28"/>
          <w:szCs w:val="28"/>
        </w:rPr>
        <w:t xml:space="preserve"> Аюб Хуако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18</cp:revision>
  <dcterms:created xsi:type="dcterms:W3CDTF">2024-10-03T08:49:00Z</dcterms:created>
  <dcterms:modified xsi:type="dcterms:W3CDTF">2024-11-25T13:56:52Z</dcterms:modified>
</cp:coreProperties>
</file>