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2"/>
      </w:pPr>
      <w:r/>
      <w:r/>
    </w:p>
    <w:p>
      <w:pPr>
        <w:pStyle w:val="862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25.11.2024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3d4146"/>
          <w:sz w:val="28"/>
          <w:szCs w:val="28"/>
        </w:rPr>
        <w:t xml:space="preserve">Президент РФ подписал закон, определяющий порядок выдела доли для машино-места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240" w:after="0" w:line="24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92c2f"/>
          <w:sz w:val="28"/>
          <w:szCs w:val="28"/>
        </w:rPr>
        <w:t xml:space="preserve">Президент РФ Владимир Путин подписал разработанный Росреестром </w:t>
      </w:r>
      <w:hyperlink r:id="rId10" w:tooltip="http://publication.pravo.gov.ru/document/0001202411230024" w:history="1">
        <w:r>
          <w:rPr>
            <w:rStyle w:val="865"/>
            <w:rFonts w:ascii="Tinos" w:hAnsi="Tinos" w:eastAsia="Tinos" w:cs="Tinos"/>
            <w:color w:val="0000ee"/>
            <w:sz w:val="28"/>
            <w:szCs w:val="28"/>
            <w:u w:val="single"/>
          </w:rPr>
          <w:t xml:space="preserve">Федеральный закон</w:t>
        </w:r>
      </w:hyperlink>
      <w:r>
        <w:rPr>
          <w:rFonts w:ascii="Tinos" w:hAnsi="Tinos" w:eastAsia="Tinos" w:cs="Tinos"/>
          <w:color w:val="292c2f"/>
          <w:sz w:val="28"/>
          <w:szCs w:val="28"/>
        </w:rPr>
        <w:t xml:space="preserve">, который предусматривает дополнительное регулирование порядка выдела доли в праве общей долевой собственности для образования машино-места.</w:t>
        <w:br/>
        <w:br/>
        <w:t xml:space="preserve">Закон принят Государственной Думой 13 ноября 2024 года и одобрен Советом Федерации 20 ноября 2024 года.</w:t>
        <w:br/>
        <w:br/>
        <w:t xml:space="preserve">Законом в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несены изменения в статью 6 Федерального закона № 315-ФЗ «О внесении изменений в часть первую Гражданского кодекса Российской Федерации и отдельные законодательные акты Российской Федерации» и в Федеральный закон «О государственной регистрации недвижимости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»</w:t>
        <w:br/>
        <w:br/>
        <w:t xml:space="preserve">Статс-секретарь - заместитель руководителя Росреестра </w:t>
      </w:r>
      <w:r>
        <w:rPr>
          <w:rFonts w:ascii="Tinos" w:hAnsi="Tinos" w:eastAsia="Tinos" w:cs="Tinos"/>
          <w:b/>
          <w:color w:val="292c2f"/>
          <w:sz w:val="28"/>
          <w:szCs w:val="28"/>
        </w:rPr>
        <w:t xml:space="preserve">Алексей Бутовецкий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 напомнил, что понятие машино-места было введено впервые с 1 января 2017 года Федеральным законом № 315-ФЗ. До этого в гражданском обороте участвовали доли в праве на здание, сооружение, помещение, предназначенные для размещения транспортных средств.</w:t>
        <w:br/>
        <w:br/>
        <w:t xml:space="preserve">«</w:t>
      </w:r>
      <w:r>
        <w:rPr>
          <w:rFonts w:ascii="Tinos" w:hAnsi="Tinos" w:eastAsia="Tinos" w:cs="Tinos"/>
          <w:i/>
          <w:color w:val="292c2f"/>
          <w:sz w:val="28"/>
          <w:szCs w:val="28"/>
        </w:rPr>
        <w:t xml:space="preserve">Согласно действующему законодательству для выдела в натуре доли не требуется согласие участников долевой собственности, если предоставлено соглашение всех собственников или решение собрания, определяющие порядок пользования недвижимым имуществом. Однако на</w:t>
      </w:r>
      <w:r>
        <w:rPr>
          <w:rFonts w:ascii="Tinos" w:hAnsi="Tinos" w:eastAsia="Tinos" w:cs="Tinos"/>
          <w:i/>
          <w:color w:val="292c2f"/>
          <w:sz w:val="28"/>
          <w:szCs w:val="28"/>
        </w:rPr>
        <w:t xml:space="preserve"> практике не все граждане смогли реализовать свое право на выдел из-за того, что практически невозможно найти других собственников для заключения соглашения или проведения общего собрания. В законе прописан порядок выдела доли для образования машино-места,</w:t>
      </w:r>
      <w:r>
        <w:rPr>
          <w:rFonts w:ascii="Tinos" w:hAnsi="Tinos" w:eastAsia="Tinos" w:cs="Tinos"/>
          <w:i/>
          <w:color w:val="292c2f"/>
          <w:sz w:val="28"/>
          <w:szCs w:val="28"/>
        </w:rPr>
        <w:t xml:space="preserve"> что расширит возможности граждан на реализацию этого права и упростит саму процедуру»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, - пояснил Алексей Бутовецкий.</w:t>
        <w:br/>
        <w:br/>
        <w:t xml:space="preserve">Так, закон предусматривает процедуру согласования местоположения машино-места на плане этажа или части этажа с направлением извещения в адрес участников долевой собственности, чьи права могут быть затронуты при выделе доли.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Проведение согласования местоположения машино-места обеспечивает кадастровый инженер.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ind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sz w:val="24"/>
        </w:rPr>
      </w:r>
      <w:r/>
    </w:p>
    <w:p>
      <w:pPr>
        <w:jc w:val="both"/>
        <w:spacing w:after="200" w:line="276" w:lineRule="auto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200"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eastAsia="ru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20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7"/>
    <w:link w:val="856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5"/>
    <w:next w:val="85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5"/>
    <w:next w:val="85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5"/>
    <w:next w:val="85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855"/>
    <w:next w:val="855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5"/>
    <w:next w:val="855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3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>
    <w:name w:val="Balloon Text"/>
    <w:basedOn w:val="855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</w:style>
  <w:style w:type="character" w:styleId="863" w:customStyle="1">
    <w:name w:val="Заголовок 1 Знак"/>
    <w:basedOn w:val="857"/>
    <w:link w:val="85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4">
    <w:name w:val="List Paragraph"/>
    <w:basedOn w:val="855"/>
    <w:uiPriority w:val="34"/>
    <w:qFormat/>
    <w:pPr>
      <w:contextualSpacing/>
      <w:ind w:left="720"/>
      <w:spacing w:line="256" w:lineRule="auto"/>
    </w:pPr>
  </w:style>
  <w:style w:type="character" w:styleId="865">
    <w:name w:val="Hyperlink"/>
    <w:basedOn w:val="857"/>
    <w:uiPriority w:val="99"/>
    <w:unhideWhenUsed/>
    <w:rPr>
      <w:color w:val="0563c1" w:themeColor="hyperlink"/>
      <w:u w:val="single"/>
    </w:rPr>
  </w:style>
  <w:style w:type="character" w:styleId="866">
    <w:name w:val="annotation reference"/>
    <w:basedOn w:val="857"/>
    <w:uiPriority w:val="99"/>
    <w:semiHidden/>
    <w:unhideWhenUsed/>
    <w:rPr>
      <w:sz w:val="16"/>
      <w:szCs w:val="16"/>
    </w:rPr>
  </w:style>
  <w:style w:type="paragraph" w:styleId="867">
    <w:name w:val="annotation text"/>
    <w:basedOn w:val="855"/>
    <w:link w:val="86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8" w:customStyle="1">
    <w:name w:val="Текст примечания Знак"/>
    <w:basedOn w:val="857"/>
    <w:link w:val="867"/>
    <w:uiPriority w:val="99"/>
    <w:semiHidden/>
    <w:rPr>
      <w:sz w:val="20"/>
      <w:szCs w:val="20"/>
    </w:rPr>
  </w:style>
  <w:style w:type="paragraph" w:styleId="869">
    <w:name w:val="annotation subject"/>
    <w:basedOn w:val="867"/>
    <w:next w:val="867"/>
    <w:link w:val="870"/>
    <w:uiPriority w:val="99"/>
    <w:semiHidden/>
    <w:unhideWhenUsed/>
    <w:rPr>
      <w:b/>
      <w:bCs/>
    </w:rPr>
  </w:style>
  <w:style w:type="character" w:styleId="870" w:customStyle="1">
    <w:name w:val="Тема примечания Знак"/>
    <w:basedOn w:val="868"/>
    <w:link w:val="869"/>
    <w:uiPriority w:val="99"/>
    <w:semiHidden/>
    <w:rPr>
      <w:b/>
      <w:bCs/>
      <w:sz w:val="20"/>
      <w:szCs w:val="20"/>
    </w:rPr>
  </w:style>
  <w:style w:type="paragraph" w:styleId="871">
    <w:name w:val="toc 4"/>
    <w:basedOn w:val="855"/>
    <w:next w:val="855"/>
    <w:link w:val="872"/>
    <w:uiPriority w:val="39"/>
    <w:semiHidden/>
    <w:unhideWhenUsed/>
    <w:pPr>
      <w:ind w:left="660"/>
      <w:spacing w:after="100"/>
    </w:pPr>
  </w:style>
  <w:style w:type="character" w:styleId="872" w:customStyle="1">
    <w:name w:val="Оглавление 4 Знак"/>
    <w:link w:val="871"/>
    <w:uiPriority w:val="39"/>
    <w:semiHidden/>
  </w:style>
  <w:style w:type="paragraph" w:styleId="873">
    <w:name w:val="Normal (Web)"/>
    <w:basedOn w:val="85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Strong"/>
    <w:basedOn w:val="857"/>
    <w:uiPriority w:val="22"/>
    <w:qFormat/>
    <w:rPr>
      <w:b/>
      <w:bCs/>
    </w:rPr>
  </w:style>
  <w:style w:type="character" w:styleId="875">
    <w:name w:val="Emphasis"/>
    <w:basedOn w:val="85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publication.pravo.gov.ru/document/0001202411230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16</cp:revision>
  <dcterms:created xsi:type="dcterms:W3CDTF">2024-10-03T08:49:00Z</dcterms:created>
  <dcterms:modified xsi:type="dcterms:W3CDTF">2024-11-25T14:10:04Z</dcterms:modified>
</cp:coreProperties>
</file>