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83"/>
        <w:ind w:left="0" w:right="0" w:firstLine="0"/>
        <w:jc w:val="center"/>
        <w:spacing w:before="285" w:after="285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В Адыгее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выявляют правообладателей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ранее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 учтенных объектов недвижимости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pStyle w:val="683"/>
        <w:ind w:left="0" w:right="0" w:firstLine="0"/>
        <w:jc w:val="both"/>
        <w:spacing w:before="285" w:after="285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Уже прошло более трех лет, как действует Федеральный закон №518-ФЗ о выяв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лении правообладателей ранее учтенных объектов недвижимости.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реализации Закона, который вступил в силу с 29 июня 2021 года, основная роль возложена на органы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естного самоуправления.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 результатам проведения работы 6768 ранее учтенных объекта сняты с кадастрового учета в связи с прекращением существования,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зарегистрированы ранее возникшие права на 9532 объектов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Руководитель Управления Росреестра по Республике Адыгея Марина Никифорова: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tLeast"/>
        <w:shd w:val="clear" w:color="ffffff" w:fill="ffffff"/>
        <w:rPr>
          <w:rFonts w:ascii="Tinos" w:hAnsi="Tinos" w:cs="Tinos"/>
          <w:bCs/>
          <w:i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lang w:eastAsia="ru-RU"/>
        </w:rPr>
        <w:t xml:space="preserve">В работе по наполнению Единого государственного реестра недвижимости необходимыми сведениями о правообладателях и отсутствующих характеристиках ранее учтенных объектов недвижимости принимают у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lang w:eastAsia="ru-RU"/>
        </w:rPr>
        <w:t xml:space="preserve">частие все муниципалитеты Адыгеи. Помимо этого, также идет работа по наполнению ЕГРН сведениями о границах муниципальных образований и населенных пунктов, о проектах межевания, зонах затопления, подтопления, береговых линиях, границах лесничеств, границах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lang w:eastAsia="ru-RU"/>
        </w:rPr>
        <w:t xml:space="preserve">водоохранных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lang w:eastAsia="ru-RU"/>
        </w:rPr>
        <w:t xml:space="preserve"> зон и прибрежных защитных полос, об объектах и территориях культурного наследия, о границах особо охраняемых природных территорий федерального значения. Эта масштабная работа позволит грамотно использовать земельные ресурсы и объекты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lang w:eastAsia="ru-RU"/>
        </w:rPr>
        <w:t xml:space="preserve">недвижимости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». </w:t>
      </w:r>
      <w:r>
        <w:rPr>
          <w:rFonts w:ascii="Tinos" w:hAnsi="Tinos" w:cs="Tinos"/>
          <w:bCs/>
          <w:i/>
          <w:color w:val="000000" w:themeColor="text1"/>
          <w:sz w:val="28"/>
          <w:szCs w:val="28"/>
        </w:rPr>
      </w:r>
      <w:r>
        <w:rPr>
          <w:rFonts w:ascii="Tinos" w:hAnsi="Tinos" w:cs="Tinos"/>
          <w:bCs/>
          <w:i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республике ответственным за реализацию Закона №518-ФЗ является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Комитет Республики Адыгея по взаимодействию с органами местного самоуправления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tLeast"/>
        <w:shd w:val="clear" w:color="ffffff" w:fill="ffffff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Заместитель председателя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Комитета Республики Адыгея по взаимодействию с органами местного самоуправления Довлет Долев: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360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«С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овместно с региональным Росреестром и органами местного самоуправления ежедневно проводятся работы по исполнению данного Закона. На сегодняшний день показатели нашей республики по реализации Закона улучшились, но предстоит еще большая и кропотливая работа,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 так как в настоящее время в ЕГРН отсутствует информация о владельцах порядка 30 тысяч ранее учтенных объектов недвижимости».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Напомним, что ранее учтенными объектами недвижимости признаются: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1. Объекты недвижимости, права на которые возникли до дня вступления в силу Федерального </w:t>
      </w:r>
      <w:hyperlink r:id="rId10" w:tooltip="consultantplus://offline/ref=A4D36E1AA5E0A06F214E3FC88A8EBE958468D9F1D736B9499F6E5A02094B35DC87EC82D07C280C3A899642A166l4u1K" w:history="1">
        <w:r>
          <w:rPr>
            <w:rStyle w:val="865"/>
            <w:rFonts w:ascii="Tinos" w:hAnsi="Tinos" w:eastAsia="Tinos" w:cs="Tinos"/>
            <w:color w:val="000000" w:themeColor="text1"/>
            <w:sz w:val="28"/>
            <w:szCs w:val="28"/>
            <w:u w:val="single"/>
          </w:rPr>
          <w:t xml:space="preserve">закона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от 21.07.1997 № 122-ФЗ «О государственной регистрации прав на недвижимое имущество и сделок с ним» (до 31.01.1998) и кадастровый учет которых до сих пор не был осуществлен.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2. Объекты недвижимости, поставленные на технический или государственный учет до 1 марта 2008 года, но права на которые не зарегистрированы в ЕГРН;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3. Объекты недвижимости, учет которых не был проведен, однако права на них зарегистрированы (и не прекращены) и им присвоены условные (не кадастровые) номера органом регистрации прав.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Проверить наличие сведений об объекте недвижимости в ЕГРН собственники могут самостоятельно. В этом может помочь портал </w:t>
      </w:r>
      <w:hyperlink r:id="rId11" w:tooltip="http://rosreestr.gov.ru/" w:history="1">
        <w:r>
          <w:rPr>
            <w:rStyle w:val="865"/>
            <w:rFonts w:ascii="Tinos" w:hAnsi="Tinos" w:eastAsia="Tinos" w:cs="Tinos"/>
            <w:color w:val="000000" w:themeColor="text1"/>
            <w:sz w:val="28"/>
            <w:szCs w:val="28"/>
            <w:highlight w:val="white"/>
            <w:u w:val="none"/>
          </w:rPr>
          <w:t xml:space="preserve">Росреестра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 Самый простой способ – сделать онлайн-запрос через электронный сервис </w:t>
      </w:r>
      <w:hyperlink r:id="rId12" w:tooltip="https://lk.rosreestr.ru/eservices/real-estate-objects-online" w:history="1">
        <w:r>
          <w:rPr>
            <w:rStyle w:val="865"/>
            <w:rFonts w:ascii="Tinos" w:hAnsi="Tinos" w:eastAsia="Tinos" w:cs="Tinos"/>
            <w:color w:val="000000" w:themeColor="text1"/>
            <w:sz w:val="28"/>
            <w:szCs w:val="28"/>
            <w:highlight w:val="white"/>
            <w:u w:val="none"/>
          </w:rPr>
          <w:t xml:space="preserve">«Справочная информация об объектах недвижимости в режиме online»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A4D36E1AA5E0A06F214E3FC88A8EBE958468D9F1D736B9499F6E5A02094B35DC87EC82D07C280C3A899642A166l4u1K" TargetMode="External"/><Relationship Id="rId11" Type="http://schemas.openxmlformats.org/officeDocument/2006/relationships/hyperlink" Target="http://rosreestr.gov.ru/" TargetMode="External"/><Relationship Id="rId12" Type="http://schemas.openxmlformats.org/officeDocument/2006/relationships/hyperlink" Target="https://lk.rosreestr.ru/eservices/real-estate-objects-onlin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22</cp:revision>
  <dcterms:created xsi:type="dcterms:W3CDTF">2024-10-03T08:49:00Z</dcterms:created>
  <dcterms:modified xsi:type="dcterms:W3CDTF">2024-12-03T09:10:15Z</dcterms:modified>
</cp:coreProperties>
</file>