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05.12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преддверии </w:t>
      </w:r>
      <w:r>
        <w:rPr>
          <w:rFonts w:ascii="Times New Roman" w:hAnsi="Times New Roman"/>
          <w:b/>
          <w:sz w:val="28"/>
          <w:szCs w:val="28"/>
        </w:rPr>
        <w:t xml:space="preserve">Международн</w:t>
      </w:r>
      <w:r>
        <w:rPr>
          <w:rFonts w:ascii="Times New Roman" w:hAnsi="Times New Roman"/>
          <w:b/>
          <w:sz w:val="28"/>
          <w:szCs w:val="28"/>
        </w:rPr>
        <w:t xml:space="preserve">ого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 xml:space="preserve">ня</w:t>
      </w:r>
      <w:r>
        <w:rPr>
          <w:rFonts w:ascii="Times New Roman" w:hAnsi="Times New Roman"/>
          <w:b/>
          <w:sz w:val="28"/>
          <w:szCs w:val="28"/>
        </w:rPr>
        <w:t xml:space="preserve"> борьбы с коррупцией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Росреестр</w:t>
      </w:r>
      <w:r>
        <w:rPr>
          <w:rFonts w:ascii="Times New Roman" w:hAnsi="Times New Roman"/>
          <w:b/>
          <w:bCs/>
          <w:sz w:val="28"/>
          <w:szCs w:val="28"/>
        </w:rPr>
        <w:t xml:space="preserve"> напоминает о работе телефона доверия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Ежегодно, 9 декабря, во всем мире отмечается Международный день борьбы с коррупцией. В этот день в 2003 году была открыта для подписания Конвенция Организации Объединенных Наций против коррупции.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целях повышения эффективности соблюдения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гражданскими служащими 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работниками </w:t>
      </w:r>
      <w:r>
        <w:rPr>
          <w:rFonts w:ascii="Times New Roman" w:hAnsi="Times New Roman"/>
          <w:b/>
          <w:sz w:val="28"/>
          <w:szCs w:val="28"/>
        </w:rPr>
        <w:t xml:space="preserve">Управления Росреестра по Республике Адыгея</w:t>
      </w:r>
      <w:r>
        <w:rPr>
          <w:rFonts w:ascii="Times New Roman" w:hAnsi="Times New Roman"/>
          <w:b/>
          <w:sz w:val="28"/>
          <w:szCs w:val="28"/>
        </w:rPr>
        <w:t xml:space="preserve"> правил служебного поведения, формирования в обществе нетерпимого отношения </w:t>
      </w:r>
      <w:r>
        <w:rPr>
          <w:rFonts w:ascii="Times New Roman" w:hAnsi="Times New Roman"/>
          <w:b/>
          <w:sz w:val="28"/>
          <w:szCs w:val="28"/>
        </w:rPr>
        <w:t xml:space="preserve">к проявлениям коррупции, а также обеспечения обратной связи с гражданами и организациями, функционирует телефон доверия с единым номером (8772) 52-49-18, работающий круглосуточно, в автоматическом режиме и оснащенный системой записи поступающих обращений.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телефону доверия принимается и рассматривается информация о фактах: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коррупционных проявлений в действиях гражданских служащих и работников;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конфликта интересов в действиях  (бездействии) гражданских служащих и работников;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несоблюдения </w:t>
      </w:r>
      <w:r>
        <w:rPr>
          <w:rFonts w:ascii="Times New Roman" w:hAnsi="Times New Roman"/>
          <w:sz w:val="28"/>
          <w:szCs w:val="28"/>
        </w:rPr>
        <w:t xml:space="preserve">гражданскими служащим и </w:t>
      </w:r>
      <w:r>
        <w:rPr>
          <w:rFonts w:ascii="Times New Roman" w:hAnsi="Times New Roman"/>
          <w:sz w:val="28"/>
          <w:szCs w:val="28"/>
        </w:rPr>
        <w:t xml:space="preserve">работниками ограничений и запретов, в отношении которых законодательством Российской Федерации такие запреты и ограничения установлены.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Обращения, поступившие по телефону доверия, не касающиеся коррупционных действий работников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, анонимные обращения (без указания фамилии, имени гражданина, направившего обращение), обращения, не содержащие почтового адреса или адреса электронной почты, по которому должен</w:t>
      </w:r>
      <w:r>
        <w:rPr>
          <w:rFonts w:ascii="Times New Roman" w:hAnsi="Times New Roman"/>
          <w:sz w:val="28"/>
          <w:szCs w:val="28"/>
        </w:rPr>
        <w:t xml:space="preserve"> быть направлен ответ, а также </w:t>
      </w:r>
      <w:r>
        <w:rPr>
          <w:rFonts w:ascii="Times New Roman" w:hAnsi="Times New Roman"/>
          <w:sz w:val="28"/>
          <w:szCs w:val="28"/>
        </w:rPr>
        <w:t xml:space="preserve">обращения, аудиозапись </w:t>
      </w:r>
      <w:r>
        <w:rPr>
          <w:rFonts w:ascii="Times New Roman" w:hAnsi="Times New Roman"/>
          <w:sz w:val="28"/>
          <w:szCs w:val="28"/>
        </w:rPr>
        <w:t xml:space="preserve">которых неразборчива и непонятна, не регистрируются и не рассматриваются.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Конфиденциальность поступившего обращения гарантируется.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Кроме этого в круглосуточном режиме функционирует федеральный телефон доверия Росреестра, куда можно позвонить по номеру</w:t>
      </w:r>
      <w:r>
        <w:rPr>
          <w:rFonts w:ascii="Tinos" w:hAnsi="Tinos" w:eastAsia="Tinos" w:cs="Tinos"/>
          <w:color w:val="ff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8 (800) 100-18-18.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Обращения, содержащие информацию о коррупционных проявлениях в системе Росреестра, можно направить через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hyperlink r:id="rId10" w:tooltip="https://rosreestr.gov.ru/eservices/services/tickets/" w:history="1">
        <w:r>
          <w:rPr>
            <w:rStyle w:val="861"/>
            <w:rFonts w:ascii="Tinos" w:hAnsi="Tinos" w:eastAsia="Tinos" w:cs="Tinos"/>
            <w:color w:val="000000" w:themeColor="text1"/>
            <w:sz w:val="28"/>
            <w:szCs w:val="28"/>
            <w:highlight w:val="none"/>
          </w:rPr>
          <w:t xml:space="preserve">электронную форму обратной связ</w:t>
        </w:r>
        <w:r>
          <w:rPr>
            <w:rStyle w:val="861"/>
            <w:rFonts w:ascii="Tinos" w:hAnsi="Tinos" w:eastAsia="Tinos" w:cs="Tinos"/>
            <w:color w:val="000000" w:themeColor="text1"/>
            <w:sz w:val="28"/>
            <w:szCs w:val="28"/>
            <w:highlight w:val="none"/>
          </w:rPr>
          <w:t xml:space="preserve">и</w:t>
        </w:r>
        <w:r>
          <w:rPr>
            <w:rStyle w:val="861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highlight w:val="none"/>
        </w:rPr>
        <w:t xml:space="preserve">«Коррупция представляет собой один из серьезнейших и опасных вызовов человеческому развитию. Она не только подвергает риску суверенитет и безопасность государства, но и </w:t>
      </w:r>
      <w:r>
        <w:rPr>
          <w:rFonts w:ascii="Times New Roman" w:hAnsi="Times New Roman"/>
          <w:i/>
          <w:sz w:val="28"/>
          <w:szCs w:val="28"/>
        </w:rPr>
        <w:t xml:space="preserve">подрывает государственные устои и нарушает общественный порядок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Одн</w:t>
      </w:r>
      <w:r>
        <w:rPr>
          <w:rFonts w:ascii="Times New Roman" w:hAnsi="Times New Roman"/>
          <w:bCs/>
          <w:i/>
          <w:sz w:val="28"/>
          <w:szCs w:val="28"/>
        </w:rPr>
        <w:t xml:space="preserve">им</w:t>
      </w:r>
      <w:r>
        <w:rPr>
          <w:rFonts w:ascii="Times New Roman" w:hAnsi="Times New Roman"/>
          <w:bCs/>
          <w:i/>
          <w:sz w:val="28"/>
          <w:szCs w:val="28"/>
        </w:rPr>
        <w:t xml:space="preserve"> из важных направлений деятельности </w:t>
      </w:r>
      <w:r>
        <w:rPr>
          <w:rFonts w:ascii="Times New Roman" w:hAnsi="Times New Roman"/>
          <w:bCs/>
          <w:i/>
          <w:sz w:val="28"/>
          <w:szCs w:val="28"/>
        </w:rPr>
        <w:t xml:space="preserve">Управления Росреестра</w:t>
      </w:r>
      <w:r>
        <w:rPr>
          <w:rFonts w:ascii="Times New Roman" w:hAnsi="Times New Roman"/>
          <w:bCs/>
          <w:i/>
          <w:sz w:val="28"/>
          <w:szCs w:val="28"/>
        </w:rPr>
        <w:t xml:space="preserve"> по </w:t>
      </w:r>
      <w:r>
        <w:rPr>
          <w:rFonts w:ascii="Times New Roman" w:hAnsi="Times New Roman"/>
          <w:bCs/>
          <w:i/>
          <w:sz w:val="28"/>
          <w:szCs w:val="28"/>
        </w:rPr>
        <w:t xml:space="preserve">Республике Адыгея</w:t>
      </w:r>
      <w:r>
        <w:rPr>
          <w:rFonts w:ascii="Times New Roman" w:hAnsi="Times New Roman"/>
          <w:bCs/>
          <w:i/>
          <w:sz w:val="28"/>
          <w:szCs w:val="28"/>
        </w:rPr>
        <w:t xml:space="preserve"> является профилактика коррупционных правонарушений, а также повышение информационной открытости</w:t>
      </w:r>
      <w:r>
        <w:rPr>
          <w:rFonts w:ascii="Times New Roman" w:hAnsi="Times New Roman"/>
          <w:bCs/>
          <w:i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i/>
          <w:sz w:val="28"/>
          <w:szCs w:val="28"/>
        </w:rPr>
        <w:t xml:space="preserve">,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подчеркнул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 руководитель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регионального Управления Росреестра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Марина Никифорова.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eservices/services/ticke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4</cp:revision>
  <dcterms:created xsi:type="dcterms:W3CDTF">2024-09-05T10:18:00Z</dcterms:created>
  <dcterms:modified xsi:type="dcterms:W3CDTF">2024-12-06T07:32:27Z</dcterms:modified>
</cp:coreProperties>
</file>