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1"/>
      </w:pPr>
      <w:r/>
      <w:r/>
    </w:p>
    <w:p>
      <w:pPr>
        <w:pStyle w:val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16.12.</w:t>
      </w:r>
      <w:r>
        <w:rPr>
          <w:rFonts w:ascii="Times New Roman" w:hAnsi="Times New Roman" w:cs="Times New Roman"/>
          <w:b/>
          <w:sz w:val="26"/>
          <w:szCs w:val="26"/>
        </w:rPr>
        <w:t xml:space="preserve">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5"/>
        <w:ind w:left="0" w:right="0" w:firstLine="0"/>
        <w:jc w:val="center"/>
        <w:spacing w:after="0" w:line="240" w:lineRule="auto"/>
        <w:shd w:val="clear" w:color="ffffff" w:fill="ffffff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pacing w:val="-16"/>
          <w:sz w:val="28"/>
          <w:szCs w:val="28"/>
        </w:rPr>
        <w:t xml:space="preserve">Недвижимость в собственность через нотариуса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февраля 2019 года нотариус может самостоятельно направлять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прав собственности в электронном виде, что обеспечивает быстрое и комфортное получение гражданами услуг Росреестра.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Сегодня нотариусы — одни из наиболее активных пользователей сервисов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заявлениям, поданным нотариусами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, был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них,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5742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на основании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в орган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 о праве на наследство.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Взаимодействие нотариусов и Росреестра осуществляется посредством Единой информационной системы нотариата, включенной в систему межведомственного электронного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заимодействия.Так, после совершения нотариального действия, например, удостоверения сделки, выдачи свидетельства о праве на наследство, нотариусы обязаны в день оформления документов, представить в электронной форме заявление о государственной регистрации.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Электронное взаимодействие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нотариусов позволяет собственникам объектов недвижимости осуществить государственную регистрацию прав,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без посещения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офис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Многофункционального центра, как следствие — это экономия времени.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 такой срок по сделке, удостоверенной нотариусом, составляет 1 рабочий день, следующий за днем поступления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отметил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 Нотариальной палаты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Батыр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Мерзакулов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Благодаря эффективному взаимодействию Управления и нотариата достигаются высокие показатели в регистрационной сфере, а также реализуются новые способы совместной деятельности в интересах заявителей.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paragraph" w:styleId="845">
    <w:name w:val="Heading 1"/>
    <w:basedOn w:val="844"/>
    <w:next w:val="844"/>
    <w:link w:val="85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alloon Text"/>
    <w:basedOn w:val="844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6"/>
    <w:link w:val="849"/>
    <w:uiPriority w:val="99"/>
    <w:semiHidden/>
    <w:rPr>
      <w:rFonts w:ascii="Segoe UI" w:hAnsi="Segoe UI" w:cs="Segoe UI"/>
      <w:sz w:val="18"/>
      <w:szCs w:val="18"/>
    </w:rPr>
  </w:style>
  <w:style w:type="paragraph" w:styleId="851">
    <w:name w:val="No Spacing"/>
    <w:uiPriority w:val="1"/>
    <w:qFormat/>
    <w:pPr>
      <w:spacing w:after="0" w:line="240" w:lineRule="auto"/>
    </w:pPr>
  </w:style>
  <w:style w:type="character" w:styleId="852" w:customStyle="1">
    <w:name w:val="Заголовок 1 Знак"/>
    <w:basedOn w:val="846"/>
    <w:link w:val="8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3">
    <w:name w:val="List Paragraph"/>
    <w:basedOn w:val="844"/>
    <w:uiPriority w:val="34"/>
    <w:qFormat/>
    <w:pPr>
      <w:contextualSpacing/>
      <w:ind w:left="720"/>
      <w:spacing w:line="256" w:lineRule="auto"/>
    </w:pPr>
  </w:style>
  <w:style w:type="character" w:styleId="854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5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56">
    <w:name w:val="annotation text"/>
    <w:basedOn w:val="844"/>
    <w:link w:val="85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7" w:customStyle="1">
    <w:name w:val="Текст примечания Знак"/>
    <w:basedOn w:val="846"/>
    <w:link w:val="856"/>
    <w:uiPriority w:val="99"/>
    <w:semiHidden/>
    <w:rPr>
      <w:sz w:val="20"/>
      <w:szCs w:val="20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9</cp:revision>
  <dcterms:created xsi:type="dcterms:W3CDTF">2024-05-13T06:37:00Z</dcterms:created>
  <dcterms:modified xsi:type="dcterms:W3CDTF">2024-12-17T09:38:49Z</dcterms:modified>
</cp:coreProperties>
</file>