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10.12</w:t>
      </w:r>
      <w:r>
        <w:rPr>
          <w:rFonts w:ascii="Times New Roman" w:hAnsi="Times New Roman" w:cs="Times New Roman"/>
          <w:b/>
          <w:sz w:val="26"/>
          <w:szCs w:val="26"/>
        </w:rPr>
        <w:t xml:space="preserve">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0"/>
        <w:ind w:left="0" w:right="0" w:firstLine="0"/>
        <w:jc w:val="center"/>
        <w:spacing w:before="0" w:after="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В реестр недвижимости внесены сведения о 1356 аварийных объектах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eastAsia="Tinos" w:cs="Tinos"/>
          <w:color w:val="000000"/>
          <w:sz w:val="28"/>
          <w:szCs w:val="28"/>
          <w:highlight w:val="white"/>
        </w:rPr>
        <w:outlineLvl w:val="1"/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 Управлении Росреестра по Республике Адыгея продолжается работа по внесению в Единый государственный реестр недвижимости сведений об аварийности жилых объектов, признанных таковыми на территории республики. Она была начата с 1 февраля 2022 года, когда вс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тупил в силу Федеральный закон от 26 мая 2021 года № 148-ФЗ «О внесении изменений в Федеральный закон «О государственной регистрации недвижимости». Согласно документу, выписка из реестра недвижимости с этого момента должна содержать особую отметку, предста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вленную сведениями о признании многоквартирного дома аварийным и подлежащим сносу или реконструкции, а также сведениями о признании жилья непригодным для проживания.</w:t>
        <w:br/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eastAsia="Tinos" w:cs="Tinos"/>
          <w:sz w:val="28"/>
          <w:szCs w:val="28"/>
        </w:rPr>
        <w:outlineLvl w:val="1"/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 Республики Адыгея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региональное Управление Росреестра были переданы сведения о 1356 аварийн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объект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из них: 102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жилых дома, 1195 помещений и 59 индивидуальных жилых домов. В отношении 1356 объектов в Единый государственный реестр недвижимости внесены сведения о признании их непригодными для проживания, аварийными, подлежащими сносу или реконструкции.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Приобретая недвижимость стоит внимательно проверить сведения об аварийности дома заказав выписку из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ЕГРН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 объекте недвижимости или выписку из реестра недвижимости об основных характеристиках и зарегистрированных правах, и оперативно узнать о состоянии дома, не планируется ли его снос в ближайшее время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Именно актуальные данные об объекте недвижимости, содержащиеся в государственном реестре, служат гарантом прав и интересов участников рынка недвижимости, обеспечивают защиту прав граждан при оформлении сделок с недвижимостью и помогают принять верное решен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ие относительно проблемного жилья</w:t>
      </w:r>
      <w:r>
        <w:rPr>
          <w:rFonts w:ascii="Times New Roman" w:hAnsi="Times New Roman" w:cs="Times New Roman"/>
          <w:sz w:val="28"/>
          <w:szCs w:val="28"/>
        </w:rPr>
        <w:t xml:space="preserve">», – пояснила руководитель 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Марина Никифорова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Подать запрос о предоставлении сведений из ЕГРН можно лично, обратившись в офисы МФЦ, в электронном виде с помощью </w:t>
      </w:r>
      <w:hyperlink r:id="rId10" w:tooltip="https://gosuslugi.ru" w:history="1">
        <w:r>
          <w:rPr>
            <w:rStyle w:val="860"/>
            <w:rFonts w:ascii="Times New Roman" w:hAnsi="Times New Roman" w:cs="Times New Roman"/>
            <w:bCs/>
            <w:sz w:val="28"/>
            <w:szCs w:val="28"/>
          </w:rPr>
          <w:t xml:space="preserve">портала госуслуг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или воспользовавшись </w:t>
      </w:r>
      <w:hyperlink r:id="rId11" w:tooltip="https://kadastr.ru/services/vyezdnoe-obsluzhivanie/" w:history="1">
        <w:r>
          <w:rPr>
            <w:rStyle w:val="860"/>
            <w:rFonts w:ascii="Times New Roman" w:hAnsi="Times New Roman" w:cs="Times New Roman"/>
            <w:bCs/>
            <w:sz w:val="28"/>
            <w:szCs w:val="28"/>
          </w:rPr>
          <w:t xml:space="preserve">выездным обслуживанием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Роскадастра.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Сведения из реестра недвижимости предоставляются в срок не более трех рабочих дней.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0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852"/>
    <w:link w:val="851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2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2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2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2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2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2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2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9"/>
    <w:next w:val="849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2"/>
    <w:link w:val="692"/>
    <w:uiPriority w:val="10"/>
    <w:rPr>
      <w:sz w:val="48"/>
      <w:szCs w:val="48"/>
    </w:rPr>
  </w:style>
  <w:style w:type="paragraph" w:styleId="694">
    <w:name w:val="Subtitle"/>
    <w:basedOn w:val="849"/>
    <w:next w:val="849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2"/>
    <w:link w:val="694"/>
    <w:uiPriority w:val="11"/>
    <w:rPr>
      <w:sz w:val="24"/>
      <w:szCs w:val="24"/>
    </w:rPr>
  </w:style>
  <w:style w:type="paragraph" w:styleId="696">
    <w:name w:val="Quote"/>
    <w:basedOn w:val="849"/>
    <w:next w:val="849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9"/>
    <w:next w:val="849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2"/>
    <w:link w:val="700"/>
    <w:uiPriority w:val="99"/>
  </w:style>
  <w:style w:type="paragraph" w:styleId="702">
    <w:name w:val="Footer"/>
    <w:basedOn w:val="849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2"/>
    <w:link w:val="702"/>
    <w:uiPriority w:val="99"/>
  </w:style>
  <w:style w:type="paragraph" w:styleId="704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2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2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paragraph" w:styleId="850">
    <w:name w:val="Heading 1"/>
    <w:basedOn w:val="849"/>
    <w:next w:val="849"/>
    <w:link w:val="85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1">
    <w:name w:val="Heading 2"/>
    <w:basedOn w:val="849"/>
    <w:next w:val="849"/>
    <w:link w:val="867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49"/>
    <w:link w:val="8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49"/>
    <w:uiPriority w:val="34"/>
    <w:qFormat/>
    <w:pPr>
      <w:contextualSpacing/>
      <w:ind w:left="720"/>
      <w:spacing w:line="256" w:lineRule="auto"/>
    </w:p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49"/>
    <w:link w:val="8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paragraph" w:styleId="866">
    <w:name w:val="Normal (Web)"/>
    <w:basedOn w:val="84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7" w:customStyle="1">
    <w:name w:val="Заголовок 2 Знак"/>
    <w:basedOn w:val="852"/>
    <w:link w:val="851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8">
    <w:name w:val="Strong"/>
    <w:basedOn w:val="852"/>
    <w:uiPriority w:val="22"/>
    <w:qFormat/>
    <w:rPr>
      <w:b/>
      <w:bCs/>
    </w:rPr>
  </w:style>
  <w:style w:type="character" w:styleId="869">
    <w:name w:val="Emphasis"/>
    <w:basedOn w:val="85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gosuslugi.ru" TargetMode="External"/><Relationship Id="rId11" Type="http://schemas.openxmlformats.org/officeDocument/2006/relationships/hyperlink" Target="https://kadastr.ru/services/vyezdnoe-obsluzhivani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14</cp:revision>
  <dcterms:created xsi:type="dcterms:W3CDTF">2024-02-05T13:44:00Z</dcterms:created>
  <dcterms:modified xsi:type="dcterms:W3CDTF">2024-12-11T07:04:40Z</dcterms:modified>
</cp:coreProperties>
</file>