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04.02.2025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52"/>
        <w:ind w:left="0" w:right="0" w:firstLine="0"/>
        <w:jc w:val="center"/>
        <w:spacing w:before="0" w:after="540" w:line="240" w:lineRule="auto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3d4146"/>
          <w:sz w:val="28"/>
          <w:szCs w:val="28"/>
        </w:rPr>
        <w:t xml:space="preserve">Сообщить о повреждении пунктов ГГС и иных сетей можно в ППК «Роскадастр»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Правообладатели объектов недвижимого имущества, на которых расположены пункты государственной геодезической сети, должны сообщать о фактах их повреждения или уничтожении в филиал ППК «Роскадастр» по Республике Адыгея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строго в установленный срок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Напомним,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новые правила уведомления при повреждении или уничтожении пунктов государственной геодезической сети (ГГС), государственной нивелирной и гравиметрической сети,  а также геодезических сетей специального назначения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регламентированы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приказом Росреестра от 27 марта 2024 года № П/0081/24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, вступившим в силу 1 сентября 2024 года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Roboto" w:hAnsi="Roboto" w:eastAsia="Roboto" w:cs="Roboto"/>
          <w:color w:val="292c2f"/>
          <w:sz w:val="21"/>
          <w:highlight w:val="none"/>
        </w:rPr>
      </w:r>
      <w:r>
        <w:rPr>
          <w:rFonts w:ascii="Roboto" w:hAnsi="Roboto" w:eastAsia="Roboto" w:cs="Roboto"/>
          <w:color w:val="292c2f"/>
          <w:sz w:val="21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cs="Tinos"/>
          <w:color w:val="292c2f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</w:rPr>
        <w:t xml:space="preserve">Пункты ГГС служат основой создания систем координат и высот в стране, необходимы для выполнения геодезических и картографических работ, решения иных инженерно-технических задач. Росреестр на системной основе проводит р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аботы по обследованию состояния пунктов ГГС, обеспечивает развитие и модернизацию государственных сетей, их поддержание в надлежащем состоянии.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292c2f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cs="Tinos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</w:rPr>
        <w:t xml:space="preserve">С годами на территории республики  количество пунктов значительно сокращается вследствие их повреждения или уничтожения как от воздействия факторов окружающей среды, так и от деятельности человека, что значительно осложняет выполнен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</w:rPr>
        <w:t xml:space="preserve">ие геодезических и картографических работ.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highlight w:val="white"/>
        </w:rPr>
        <w:t xml:space="preserve">На сегодняшний день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получены данные о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147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 пунктах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 находящихся на территории Республики Адыгея. Обследования показали, что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24 геодезических знака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 имеют удовлетворительное состояние и могут быть использованы при выполнении геодезических работ, вместе с тем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123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 пункт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 не удалось обнаружить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, в связи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 с чем они считаются ненайденными</w:t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highlight w:val="white"/>
        </w:rPr>
        <w:t xml:space="preserve">», – </w:t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сообщил заместитель руководителя Управления Росреестра по Республике Адыгея </w:t>
      </w:r>
      <w:r>
        <w:rPr>
          <w:rFonts w:ascii="Tinos" w:hAnsi="Tinos" w:eastAsia="Tinos" w:cs="Tinos"/>
          <w:b/>
          <w:bCs/>
          <w:i w:val="0"/>
          <w:iCs w:val="0"/>
          <w:color w:val="000000" w:themeColor="text1"/>
          <w:sz w:val="28"/>
          <w:szCs w:val="28"/>
          <w:highlight w:val="white"/>
        </w:rPr>
        <w:t xml:space="preserve">Эдуард Куиз</w:t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. </w:t>
      </w:r>
      <w:r>
        <w:rPr>
          <w:rFonts w:ascii="Tinos" w:hAnsi="Tinos" w:cs="Tinos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</w:rPr>
        <w:t xml:space="preserve">Правообладатели объектов недвижимости, на которых находятся пункты, а также лица, выполняющие геодезические и картографические работы, должны направлять информацию о случаях повреждения или уничтожения пунктов указанных сетей в ППК «Роскадастр» в течение 1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5 календарных дней со дня обнаружения данных фактов. Ранее эта информация предоставлялась в Росреестр.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Информация о случаях повреждения или уничтожения ГГС направляется однократно вне зависимости от объема проводимых геодезических и картографических работ и должна содержать данные об отправителе, сведения о состоянии пункта, его местоположении и к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адастровом номере объекта недвижимости, на котором находится пункт, а также причины его повреждения или уничтожения. Данные можно направить в региональный Роскадастр по почте, в форме электронного документа или вручить при личном обращении.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Т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акже можно указать название пункта, тип его центра и знака, номер марки пункта, приложить фото и видео.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cs="Tinos"/>
          <w:b w:val="0"/>
          <w:bCs/>
          <w:i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i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/>
          <w:i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292c2f"/>
          <w:sz w:val="28"/>
          <w:szCs w:val="28"/>
        </w:rPr>
        <w:t xml:space="preserve">Отметим, за повреждение или уничтожение пунктов ГГС предусмотрен административный штраф для физических лиц в размере от 5 000 до 10 000 рублей, должностных лиц – от 10 000 до 50 000 рублей, юридических лиц – от 50 000 до 200 000 рублей.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В целях соблюдения норм действующего законодательства обращаем внимание всех заинтересованных лиц о необходимости своевременного направления информации о повреждении или уничтожении пунктов ГГС в ведомство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», – отметил директор филиала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ПК «Роскадастр» по Республике Адыгея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Аюб Хуако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  <w:style w:type="paragraph" w:styleId="869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13</cp:revision>
  <dcterms:created xsi:type="dcterms:W3CDTF">2024-10-01T14:30:00Z</dcterms:created>
  <dcterms:modified xsi:type="dcterms:W3CDTF">2025-02-05T14:10:48Z</dcterms:modified>
</cp:coreProperties>
</file>