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2"/>
        <w:jc w:val="center"/>
        <w:spacing w:after="0" w:line="240" w:lineRule="auto"/>
        <w:rPr>
          <w:rFonts w:ascii="Arial" w:hAnsi="Arial" w:eastAsia="Arial" w:cs="Arial"/>
          <w:color w:val="0070c0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810" distL="0" distR="9525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43025" cy="1253490"/>
                <wp:effectExtent l="0" t="0" r="9525" b="381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253986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43025" cy="12534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0.00pt;mso-position-horizontal:absolute;mso-position-vertical-relative:text;margin-top:-0.05pt;mso-position-vertical:absolute;width:105.75pt;height:98.70pt;mso-wrap-distance-left:0.00pt;mso-wrap-distance-top:0.00pt;mso-wrap-distance-right:0.75pt;mso-wrap-distance-bottom:0.3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Arial" w:cs="Arial"/>
          <w:color w:val="0070c0"/>
        </w:rPr>
        <w:t xml:space="preserve">   </w:t>
      </w: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</w:p>
    <w:p>
      <w:pPr>
        <w:ind w:hanging="2"/>
        <w:jc w:val="center"/>
        <w:spacing w:after="0" w:line="240" w:lineRule="auto"/>
        <w:rPr>
          <w:rFonts w:ascii="Arial" w:hAnsi="Arial" w:eastAsia="Arial" w:cs="Arial"/>
          <w:color w:val="0070c0"/>
        </w:rPr>
      </w:pP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</w:p>
    <w:p>
      <w:pPr>
        <w:ind w:hanging="2"/>
        <w:jc w:val="center"/>
        <w:spacing w:after="0" w:line="240" w:lineRule="auto"/>
        <w:rPr>
          <w:rFonts w:ascii="Arial" w:hAnsi="Arial" w:eastAsia="Arial" w:cs="Arial"/>
          <w:color w:val="0070c0"/>
        </w:rPr>
      </w:pP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</w:p>
    <w:p>
      <w:pPr>
        <w:ind w:hanging="2"/>
        <w:jc w:val="center"/>
        <w:spacing w:after="0" w:line="240" w:lineRule="auto"/>
        <w:rPr>
          <w:rFonts w:ascii="Arial" w:hAnsi="Arial" w:eastAsia="Arial" w:cs="Arial"/>
          <w:color w:val="0070c0"/>
        </w:rPr>
      </w:pP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</w:p>
    <w:p>
      <w:pPr>
        <w:ind w:hanging="2"/>
        <w:jc w:val="center"/>
        <w:spacing w:after="0" w:line="240" w:lineRule="auto"/>
        <w:rPr>
          <w:rFonts w:ascii="Arial" w:hAnsi="Arial" w:eastAsia="Arial" w:cs="Arial"/>
          <w:color w:val="0070c0"/>
        </w:rPr>
      </w:pP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  <w:r>
        <w:rPr>
          <w:rFonts w:ascii="Arial" w:hAnsi="Arial" w:eastAsia="Arial" w:cs="Arial"/>
          <w:color w:val="0070c0"/>
        </w:rPr>
      </w:r>
    </w:p>
    <w:p>
      <w:pPr>
        <w:ind w:hanging="2"/>
        <w:spacing w:after="0" w:line="240" w:lineRule="auto"/>
        <w:tabs>
          <w:tab w:val="left" w:pos="690" w:leader="none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hanging="2"/>
        <w:jc w:val="right"/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hanging="2"/>
        <w:jc w:val="right"/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hanging="2"/>
        <w:jc w:val="right"/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hanging="2"/>
        <w:jc w:val="right"/>
        <w:spacing w:after="0" w:line="240" w:lineRule="auto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27 февраля 2025 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center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c2d2e"/>
          <w:sz w:val="22"/>
          <w:highlight w:val="none"/>
        </w:rPr>
      </w:r>
      <w:r>
        <w:rPr>
          <w:rFonts w:ascii="Arial" w:hAnsi="Arial" w:eastAsia="Arial" w:cs="Arial"/>
          <w:b/>
          <w:color w:val="2c2d2e"/>
          <w:sz w:val="22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Arial" w:hAnsi="Arial" w:eastAsia="Arial" w:cs="Arial"/>
          <w:b/>
          <w:bCs/>
          <w:color w:val="1e4f79" w:themeColor="accent1" w:themeShade="8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e4f79" w:themeColor="accent1" w:themeShade="80"/>
          <w:sz w:val="22"/>
          <w:highlight w:val="none"/>
        </w:rPr>
      </w:r>
      <w:r>
        <w:rPr>
          <w:rFonts w:ascii="Arial" w:hAnsi="Arial" w:eastAsia="Arial" w:cs="Arial"/>
          <w:b/>
          <w:color w:val="1e4f79" w:themeColor="accent1" w:themeShade="80"/>
          <w:sz w:val="22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Arial" w:hAnsi="Arial" w:eastAsia="Arial" w:cs="Arial"/>
          <w:b/>
          <w:bCs/>
          <w:color w:val="1e4f79" w:themeColor="accent1" w:themeShade="8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e4f79" w:themeColor="accent1" w:themeShade="80"/>
          <w:sz w:val="22"/>
        </w:rPr>
        <w:t xml:space="preserve">«Газпром нефть» расширила сеть АЗС в России до 1549 станций</w:t>
      </w:r>
      <w:r>
        <w:rPr>
          <w:color w:val="1e4f79" w:themeColor="accent1" w:themeShade="80"/>
        </w:rPr>
      </w:r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c2d2e"/>
          <w:sz w:val="22"/>
        </w:rPr>
        <w:t xml:space="preserve">«Газпром нефть» в 2024 году ввела в эксплуатацию 45 новых автозаправочных станций. Благодаря запуску полноформатных сервисных АЗС и станций с расширенными возможностями самообслуживания общее число объектов розничной сети компании в российских регионах уве</w:t>
      </w:r>
      <w:r>
        <w:rPr>
          <w:rFonts w:ascii="Arial" w:hAnsi="Arial" w:eastAsia="Arial" w:cs="Arial"/>
          <w:color w:val="2c2d2e"/>
          <w:sz w:val="22"/>
        </w:rPr>
        <w:t xml:space="preserve">личилось до 1549.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c2d2e"/>
          <w:sz w:val="22"/>
        </w:rPr>
        <w:t xml:space="preserve">Более половины открытых АЗС пришлось на новые федеральные автомобильные трассы. На крупнейших российских магистралях – М-4 (Москва – Ростов-на-Дону), М-11 (Москва – Санкт-Петербург), М-12 (Москва – Казань) и других – было построено 24 станции с расширенным</w:t>
      </w:r>
      <w:r>
        <w:rPr>
          <w:rFonts w:ascii="Arial" w:hAnsi="Arial" w:eastAsia="Arial" w:cs="Arial"/>
          <w:color w:val="2c2d2e"/>
          <w:sz w:val="22"/>
        </w:rPr>
        <w:t xml:space="preserve"> числом топливозаправочных колонок, удобными кафе и большими магазинами товаров в дорогу.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c2d2e"/>
          <w:sz w:val="22"/>
        </w:rPr>
        <w:t xml:space="preserve">В течение 2024 года «Газпром нефть» активно развивала сервисную инфраструктуру для обслуживания электротранспорта на собственных АЗС и в партнерских локациях. Компания удвоила число электрозарядных пунктов под собственным брендом «Розетка» до 100 станций. </w:t>
      </w:r>
      <w:r>
        <w:rPr>
          <w:rFonts w:ascii="Arial" w:hAnsi="Arial" w:eastAsia="Arial" w:cs="Arial"/>
          <w:color w:val="2c2d2e"/>
          <w:sz w:val="22"/>
        </w:rPr>
        <w:t xml:space="preserve">Новые ЭЗС оснащаются оборудованием отечественного производства и позволяют зарядить батарею любого электромобиля за 25–30 минут.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c2d2e"/>
          <w:sz w:val="22"/>
        </w:rPr>
        <w:t xml:space="preserve">Дмитрий Шепельский, директор по региональным продажам «Газпром нефти»: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c2d2e"/>
          <w:sz w:val="22"/>
        </w:rPr>
        <w:t xml:space="preserve">«Развитие розничной сети «Газпромнефть» базируется на трех направлениях: открытие на федеральных магистралях новых мультиформатных станций для автопутешественников, модернизация и обновление действующих городских АЗС, запуск автоматических экспресс-станций</w:t>
      </w:r>
      <w:r>
        <w:rPr>
          <w:rFonts w:ascii="Arial" w:hAnsi="Arial" w:eastAsia="Arial" w:cs="Arial"/>
          <w:i/>
          <w:color w:val="2c2d2e"/>
          <w:sz w:val="22"/>
        </w:rPr>
        <w:t xml:space="preserve">. При этом неважно, где расположена АЗС – в мегаполисе или за городом: на всех автозаправочных станциях клиенты получают сервис гарантированно высокого качества. Кроме того, открытие АЗС несет дополнительный социальный эффект – только в прошлом году нами б</w:t>
      </w:r>
      <w:r>
        <w:rPr>
          <w:rFonts w:ascii="Arial" w:hAnsi="Arial" w:eastAsia="Arial" w:cs="Arial"/>
          <w:i/>
          <w:color w:val="2c2d2e"/>
          <w:sz w:val="22"/>
        </w:rPr>
        <w:t xml:space="preserve">ыло создано свыше 500 новых рабочих мест в регионах деятельности».</w:t>
      </w:r>
      <w:r/>
    </w:p>
    <w:p>
      <w:pPr>
        <w:ind w:left="0" w:right="0" w:firstLine="567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567"/>
        <w:jc w:val="both"/>
        <w:spacing w:after="60" w:line="360" w:lineRule="auto"/>
        <w:rPr>
          <w:rFonts w:ascii="Arial" w:hAnsi="Arial" w:eastAsia="Calibri" w:cs="Arial"/>
          <w:bCs/>
          <w:i/>
        </w:rPr>
      </w:pPr>
      <w:r>
        <w:rPr>
          <w:rFonts w:ascii="Arial" w:hAnsi="Arial" w:eastAsia="Calibri" w:cs="Arial"/>
          <w:i/>
        </w:rPr>
        <w:t xml:space="preserve">За дополнительной информацией, пожалуйста, обращайтесь:</w:t>
      </w:r>
      <w:r>
        <w:rPr>
          <w:rFonts w:ascii="Arial" w:hAnsi="Arial" w:eastAsia="Calibri" w:cs="Arial"/>
          <w:bCs/>
          <w:i/>
        </w:rPr>
      </w:r>
      <w:r>
        <w:rPr>
          <w:rFonts w:ascii="Arial" w:hAnsi="Arial" w:eastAsia="Calibri" w:cs="Arial"/>
          <w:bCs/>
          <w:i/>
        </w:rPr>
      </w:r>
    </w:p>
    <w:p>
      <w:pPr>
        <w:ind w:firstLine="567"/>
        <w:jc w:val="both"/>
        <w:spacing w:after="40" w:line="240" w:lineRule="auto"/>
        <w:rPr>
          <w:rFonts w:ascii="Arial" w:hAnsi="Arial" w:eastAsia="Calibri" w:cs="Arial"/>
          <w:i/>
        </w:rPr>
      </w:pPr>
      <w:r/>
      <w:hyperlink r:id="rId9" w:tooltip="mailto:pr@azs.gazprom-neft.ru" w:history="1">
        <w:r>
          <w:rPr>
            <w:rFonts w:ascii="Arial" w:hAnsi="Arial" w:eastAsia="Calibri" w:cs="Arial"/>
            <w:i/>
            <w:color w:val="0563c1" w:themeColor="hyperlink"/>
            <w:u w:val="single"/>
          </w:rPr>
          <w:t xml:space="preserve">pr@azs.gazprom-neft.ru</w:t>
        </w:r>
      </w:hyperlink>
      <w:r>
        <w:rPr>
          <w:rFonts w:ascii="Arial" w:hAnsi="Arial" w:eastAsia="Calibri" w:cs="Arial"/>
          <w:i/>
        </w:rPr>
        <w:t xml:space="preserve"> </w:t>
      </w:r>
      <w:r>
        <w:rPr>
          <w:rFonts w:ascii="Arial" w:hAnsi="Arial" w:eastAsia="Calibri" w:cs="Arial"/>
          <w:i/>
        </w:rPr>
      </w:r>
      <w:r>
        <w:rPr>
          <w:rFonts w:ascii="Arial" w:hAnsi="Arial" w:eastAsia="Calibri" w:cs="Arial"/>
          <w:i/>
        </w:rPr>
      </w:r>
    </w:p>
    <w:p>
      <w:pPr>
        <w:ind w:left="0" w:right="0" w:firstLine="567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pr@azs.gazprom-nef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2025-02-27T11:12:28Z</dcterms:modified>
</cp:coreProperties>
</file>