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8"/>
        <w:rPr>
          <w:highlight w:val="none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858"/>
      </w:pPr>
      <w:r/>
      <w:r/>
    </w:p>
    <w:p>
      <w:pPr>
        <w:pStyle w:val="85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20.02.2025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150"/>
        <w:shd w:val="clear" w:color="ffffff" w:fill="ffffff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Что делать, если фактическое местоположение забора между соседними участками не соответствует сведениям Единого государственного реестра недвижимости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?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На прошедшем недавно приеме граждан к начальнику отдела землеустройства, мониторинга земель и кадастровой оценки недвижимости, геодезии и картографии Ольге Церклевич обратились жители поселка Тульский Майкопского района Республики Адыгея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 вопросом: «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Что делать, если фактическое местоположение забора между соседними участками не соответствует сведениям Единого государственного реестра недвижимости, и прежде всего, отображению границ этих участков на публичной кадастровой карте?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Эксперт Управления детально разобралась в сложившейся ситуации 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дала подробные рекомендации.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Земельном кодексе РФ закреплено, что земельный участок, как объект права собственности или иного права на землю, является недвижимой вещью, которая представляет собой часть земной поверхности и имеет характеристики, позволяющие определить ее в качестве инд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ивидуально определенной вещи.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свою очередь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положениями Федерал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ьного закона от 13.07.2015 № 218-ФЗ «О государственной регистрации недвижимости» (далее – Закон № 218-ФЗ)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определено, что сведения о границах земельного участка, выраженные в координатах его поворотных точек, являются уникальной характеристикой земельного участка, позволяющие определить земельный участок в качеств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е индивидуально-определенной вещи. Таким образом, с момента определения координат поворотных точек границ земельного участка и внесения их в Единый государственный реестр недвижимости (ЕГРН) земельный участок становится индивидуально-опреде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ленной вещью, границы которой установлены.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а практике часто возникает ситуация когда, в силу определенных обстоятельств, фактическое местоположение ограждения (границ) земельного участка (забор, столбы или иные конструкции) не соответствует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координатам поворотных точек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таких границ которые содержатся ЕГРН.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06060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 целью устранения данной ситуации заинтересованное лицо вправе обратиться к услугам кадастрового инженера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для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 проведения кадастровых работ по уточнению координат поворотных точек границ и внесению актуальных сведений в ЕГРН.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 О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днако, прежде всего, заинтересованному лицу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 необходимо заручиться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согласием по вопросу местоположения границ земельного участка на местности, с правообладателями смежных земельных участков, после чего указать кадастро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вому инженеру местоположение межевых знаков характерных точек границ земельного участка.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150"/>
        <w:shd w:val="clear" w:color="ffffff" w:fill="ffffff"/>
        <w:rPr>
          <w:rFonts w:ascii="Tinos" w:hAnsi="Tinos" w:eastAsia="Tinos" w:cs="Tinos"/>
          <w:color w:val="22222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6060f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  <w:t xml:space="preserve">Если согласие не достигнуто,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 и собственники смежных земельных участков не могут договориться о прохождении границы земельного участка на местности, то решение вопроса возможно в судебном порядке, поскольку земельные споры решает </w:t>
      </w:r>
      <w:r>
        <w:rPr>
          <w:rFonts w:ascii="Tinos" w:hAnsi="Tinos" w:eastAsia="Tinos" w:cs="Tinos"/>
          <w:color w:val="06060f"/>
          <w:sz w:val="28"/>
          <w:szCs w:val="28"/>
          <w:highlight w:val="white"/>
        </w:rPr>
        <w:t xml:space="preserve">только </w: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  <w:t xml:space="preserve">суд.</w: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200"/>
        <w:shd w:val="clear" w:color="ffffff" w:fill="ffffff"/>
        <w:rPr>
          <w:rFonts w:ascii="Tinos" w:hAnsi="Tinos" w:eastAsia="Tinos" w:cs="Tino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До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полнительно сообщаем, что с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1 марта 2025 года вступает в силу норма Федерального закона от 26.12.2024 № 487-ФЗ «О внесении изменений в отдельные законодательные акты Российской Федерации», в соответствии с которой продать, подарить земельный участок, а также совершит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ь с ним иную подл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ежащую регистрации сделку, можно будет только в случае, если в Едином государственном реестре недвижимости содержатся сведения о местоположении его границ.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200"/>
        <w:shd w:val="clear" w:color="ffffff" w:fill="ffffff"/>
        <w:rPr>
          <w:rFonts w:ascii="Tinos" w:hAnsi="Tinos" w:eastAsia="Tinos" w:cs="Tino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  <w:t xml:space="preserve">Нововведение в законе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------------------------------------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Контакты для СМИ: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(8772)56-02-48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01_upr@rosreestr.ru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www.rosreestr.gov.ru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76" w:lineRule="auto"/>
        <w:tabs>
          <w:tab w:val="left" w:pos="180" w:leader="none"/>
          <w:tab w:val="left" w:pos="360" w:leader="none"/>
          <w:tab w:val="left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385000, Майкоп,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Краснооктябрьская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 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90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/>
        <w:color w:val="auto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1"/>
    <w:next w:val="85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3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paragraph" w:styleId="852">
    <w:name w:val="Heading 1"/>
    <w:basedOn w:val="851"/>
    <w:next w:val="851"/>
    <w:link w:val="85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1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3"/>
    <w:link w:val="856"/>
    <w:uiPriority w:val="99"/>
    <w:semiHidden/>
    <w:rPr>
      <w:rFonts w:ascii="Segoe UI" w:hAnsi="Segoe UI" w:cs="Segoe UI"/>
      <w:sz w:val="18"/>
      <w:szCs w:val="18"/>
    </w:rPr>
  </w:style>
  <w:style w:type="paragraph" w:styleId="858">
    <w:name w:val="No Spacing"/>
    <w:uiPriority w:val="1"/>
    <w:qFormat/>
    <w:pPr>
      <w:spacing w:after="0" w:line="240" w:lineRule="auto"/>
    </w:pPr>
  </w:style>
  <w:style w:type="character" w:styleId="859" w:customStyle="1">
    <w:name w:val="Заголовок 1 Знак"/>
    <w:basedOn w:val="853"/>
    <w:link w:val="8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0">
    <w:name w:val="List Paragraph"/>
    <w:basedOn w:val="851"/>
    <w:uiPriority w:val="34"/>
    <w:qFormat/>
    <w:pPr>
      <w:contextualSpacing/>
      <w:ind w:left="720"/>
      <w:spacing w:line="256" w:lineRule="auto"/>
    </w:pPr>
  </w:style>
  <w:style w:type="character" w:styleId="861">
    <w:name w:val="Hyperlink"/>
    <w:basedOn w:val="853"/>
    <w:uiPriority w:val="99"/>
    <w:unhideWhenUsed/>
    <w:rPr>
      <w:color w:val="0563c1" w:themeColor="hyperlink"/>
      <w:u w:val="single"/>
    </w:rPr>
  </w:style>
  <w:style w:type="character" w:styleId="862">
    <w:name w:val="annotation reference"/>
    <w:basedOn w:val="853"/>
    <w:uiPriority w:val="99"/>
    <w:semiHidden/>
    <w:unhideWhenUsed/>
    <w:rPr>
      <w:sz w:val="16"/>
      <w:szCs w:val="16"/>
    </w:rPr>
  </w:style>
  <w:style w:type="paragraph" w:styleId="863">
    <w:name w:val="annotation text"/>
    <w:basedOn w:val="851"/>
    <w:link w:val="86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4" w:customStyle="1">
    <w:name w:val="Текст примечания Знак"/>
    <w:basedOn w:val="853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semiHidden/>
    <w:unhideWhenUsed/>
    <w:rPr>
      <w:b/>
      <w:bCs/>
    </w:rPr>
  </w:style>
  <w:style w:type="character" w:styleId="866" w:customStyle="1">
    <w:name w:val="Тема примечания Знак"/>
    <w:basedOn w:val="864"/>
    <w:link w:val="865"/>
    <w:uiPriority w:val="99"/>
    <w:semiHidden/>
    <w:rPr>
      <w:b/>
      <w:bCs/>
      <w:sz w:val="20"/>
      <w:szCs w:val="20"/>
    </w:rPr>
  </w:style>
  <w:style w:type="paragraph" w:styleId="867">
    <w:name w:val="toc 4"/>
    <w:basedOn w:val="851"/>
    <w:next w:val="851"/>
    <w:link w:val="868"/>
    <w:uiPriority w:val="39"/>
    <w:semiHidden/>
    <w:unhideWhenUsed/>
    <w:pPr>
      <w:ind w:left="660"/>
      <w:spacing w:after="100"/>
    </w:pPr>
  </w:style>
  <w:style w:type="character" w:styleId="868" w:customStyle="1">
    <w:name w:val="Оглавление 4 Знак"/>
    <w:link w:val="867"/>
    <w:uiPriority w:val="3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revision>22</cp:revision>
  <dcterms:created xsi:type="dcterms:W3CDTF">2024-10-01T14:30:00Z</dcterms:created>
  <dcterms:modified xsi:type="dcterms:W3CDTF">2025-02-21T11:44:23Z</dcterms:modified>
</cp:coreProperties>
</file>