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8"/>
      </w:pPr>
      <w:r>
        <w:rPr>
          <w:lang w:eastAsia="ru-RU"/>
        </w:rPr>
        <mc:AlternateContent>
          <mc:Choice Requires="wpg">
            <w:drawing>
              <wp:inline xmlns:wp="http://schemas.openxmlformats.org/drawingml/2006/wordprocessingDrawing"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r/>
                      </pic:nvPicPr>
                      <pic:blipFill>
                        <a:blip r:embed="rId9"/>
                        <a:stretch/>
                      </pic:blipFill>
                      <pic:spPr bwMode="auto">
                        <a:xfrm>
                          <a:off x="0" y="0"/>
                          <a:ext cx="2045546" cy="751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24pt;height:57.42pt;mso-wrap-distance-left:0.00pt;mso-wrap-distance-top:0.00pt;mso-wrap-distance-right:0.00pt;mso-wrap-distance-bottom:0.00pt;" stroked="false">
                <v:path textboxrect="0,0,0,0"/>
                <v:imagedata r:id="rId9" o:title=""/>
              </v:shape>
            </w:pict>
          </mc:Fallback>
        </mc:AlternateContent>
      </w:r>
      <w:r>
        <w:t xml:space="preserve">                                                                                                                                        </w:t>
      </w:r>
      <w:r/>
    </w:p>
    <w:p>
      <w:pPr>
        <w:pStyle w:val="858"/>
      </w:pPr>
      <w:r/>
      <w:r/>
    </w:p>
    <w:p>
      <w:pPr>
        <w:contextualSpacing/>
        <w:ind w:left="360"/>
        <w:jc w:val="both"/>
        <w:spacing w:after="200" w:line="276" w:lineRule="auto"/>
        <w:rPr>
          <w:rFonts w:ascii="Tinos" w:hAnsi="Tinos" w:cs="Tinos"/>
          <w:color w:val="000000"/>
          <w:sz w:val="28"/>
          <w:szCs w:val="28"/>
        </w:rPr>
      </w:pPr>
      <w:r>
        <w:rPr>
          <w:rFonts w:ascii="Tinos" w:hAnsi="Tinos" w:cs="Tinos"/>
          <w:color w:val="000000"/>
          <w:sz w:val="28"/>
          <w:szCs w:val="28"/>
        </w:rPr>
      </w:r>
      <w:r>
        <w:rPr>
          <w:rFonts w:ascii="Tinos" w:hAnsi="Tinos" w:cs="Tinos"/>
          <w:color w:val="000000"/>
          <w:sz w:val="28"/>
          <w:szCs w:val="28"/>
        </w:rPr>
      </w:r>
      <w:r>
        <w:rPr>
          <w:rFonts w:ascii="Tinos" w:hAnsi="Tinos" w:cs="Tinos"/>
          <w:color w:val="000000"/>
          <w:sz w:val="28"/>
          <w:szCs w:val="28"/>
        </w:rPr>
      </w:r>
    </w:p>
    <w:p>
      <w:pPr>
        <w:contextualSpacing/>
        <w:ind w:left="360"/>
        <w:jc w:val="both"/>
        <w:spacing w:after="200" w:line="276" w:lineRule="auto"/>
        <w:rPr>
          <w:rFonts w:ascii="Tinos" w:hAnsi="Tinos" w:cs="Tinos"/>
          <w:color w:val="000000"/>
          <w:sz w:val="28"/>
          <w:szCs w:val="28"/>
        </w:rPr>
      </w:pPr>
      <w:r>
        <w:rPr>
          <w:rFonts w:ascii="Tinos" w:hAnsi="Tinos" w:cs="Tinos"/>
          <w:color w:val="000000"/>
          <w:sz w:val="28"/>
          <w:szCs w:val="28"/>
        </w:rPr>
      </w:r>
      <w:r>
        <w:rPr>
          <w:rFonts w:ascii="Tinos" w:hAnsi="Tinos" w:cs="Tinos"/>
          <w:color w:val="000000"/>
          <w:sz w:val="28"/>
          <w:szCs w:val="28"/>
        </w:rPr>
      </w:r>
      <w:r>
        <w:rPr>
          <w:rFonts w:ascii="Tinos" w:hAnsi="Tinos" w:cs="Tinos"/>
          <w:color w:val="000000"/>
          <w:sz w:val="28"/>
          <w:szCs w:val="28"/>
        </w:rPr>
      </w:r>
    </w:p>
    <w:p>
      <w:pPr>
        <w:pStyle w:val="681"/>
        <w:ind w:left="0" w:right="0" w:firstLine="0"/>
        <w:jc w:val="center"/>
        <w:spacing w:before="0" w:after="0" w:line="62" w:lineRule="atLeast"/>
        <w:rPr>
          <w:rFonts w:ascii="Tinos" w:hAnsi="Tinos" w:cs="Tinos"/>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bCs/>
          <w:color w:val="000000" w:themeColor="text1"/>
          <w:sz w:val="28"/>
          <w:szCs w:val="28"/>
        </w:rPr>
        <w:t xml:space="preserve">КОМПЛЕКСНЫЕ КАДАСТРОВЫЕ РАБОТЫ: ЧТО НУЖНО ЗНАТЬ СОБСТВЕННИКАМ ОБЪЕКТОВ НЕДВИЖИМОСТИ</w:t>
      </w:r>
      <w:r>
        <w:rPr>
          <w:rFonts w:ascii="Tinos" w:hAnsi="Tinos" w:eastAsia="Tinos" w:cs="Tinos"/>
          <w:b/>
          <w:bCs/>
          <w:color w:val="000000" w:themeColor="text1"/>
          <w:sz w:val="28"/>
          <w:szCs w:val="28"/>
        </w:rPr>
      </w:r>
      <w:r>
        <w:rPr>
          <w:rFonts w:ascii="Tinos" w:hAnsi="Tinos" w:cs="Tinos"/>
          <w:b/>
          <w:bCs/>
          <w:color w:val="000000" w:themeColor="text1"/>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color w:val="000000"/>
          <w:sz w:val="28"/>
          <w:szCs w:val="28"/>
          <w:highlight w:val="none"/>
        </w:rPr>
      </w:r>
      <w:r>
        <w:rPr>
          <w:rFonts w:ascii="Tinos" w:hAnsi="Tinos" w:eastAsia="Tinos" w:cs="Tinos"/>
          <w:b/>
          <w:color w:val="000000"/>
          <w:sz w:val="28"/>
          <w:szCs w:val="28"/>
          <w:highlight w:val="none"/>
        </w:rPr>
      </w:r>
      <w:r>
        <w:rPr>
          <w:rFonts w:ascii="Tinos" w:hAnsi="Tinos" w:cs="Tinos"/>
          <w:sz w:val="28"/>
          <w:szCs w:val="28"/>
        </w:rPr>
      </w:r>
    </w:p>
    <w:p>
      <w:pPr>
        <w:ind w:left="0" w:right="0" w:firstLine="0"/>
        <w:jc w:val="both"/>
        <w:spacing w:before="0" w:after="0" w:line="240" w:lineRule="auto"/>
        <w:rPr>
          <w:rFonts w:ascii="Tinos" w:hAnsi="Tinos" w:cs="Tinos"/>
          <w:b/>
          <w:bCs/>
          <w:color w:val="000000"/>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val="0"/>
          <w:bCs w:val="0"/>
          <w:color w:val="000000"/>
          <w:sz w:val="28"/>
          <w:szCs w:val="28"/>
        </w:rPr>
        <w:t xml:space="preserve">В 2025 году на территории Республики Адыгея будут проводиться комплексные кадастровые работы (ККР) в </w:t>
      </w:r>
      <w:r>
        <w:rPr>
          <w:rFonts w:ascii="Tinos" w:hAnsi="Tinos" w:eastAsia="Tinos" w:cs="Tinos"/>
          <w:color w:val="000000" w:themeColor="text1"/>
          <w:sz w:val="28"/>
          <w:szCs w:val="28"/>
        </w:rPr>
        <w:t xml:space="preserve">3 муниципальных образованиях на территории 185 кадастровых кварталов: </w:t>
      </w:r>
      <w:r>
        <w:rPr>
          <w:rFonts w:ascii="Tinos" w:hAnsi="Tinos" w:eastAsia="Tinos" w:cs="Tinos"/>
          <w:color w:val="000000" w:themeColor="text1"/>
          <w:sz w:val="28"/>
          <w:szCs w:val="28"/>
        </w:rPr>
        <w:t xml:space="preserve">в поселке Каменномостском, станице Даховской и поселке Тульском.</w:t>
      </w:r>
      <w:r>
        <w:rPr>
          <w:rFonts w:ascii="Tinos" w:hAnsi="Tinos" w:eastAsia="Tinos" w:cs="Tinos"/>
          <w:b/>
          <w:color w:val="000000"/>
          <w:sz w:val="28"/>
          <w:szCs w:val="28"/>
        </w:rPr>
        <w:t xml:space="preserve"> </w:t>
      </w:r>
      <w:r>
        <w:rPr>
          <w:rFonts w:ascii="Tinos" w:hAnsi="Tinos" w:eastAsia="Tinos" w:cs="Tinos"/>
          <w:b/>
          <w:bCs/>
          <w:color w:val="000000"/>
          <w:sz w:val="28"/>
          <w:szCs w:val="28"/>
          <w:highlight w:val="none"/>
        </w:rPr>
      </w:r>
      <w:r>
        <w:rPr>
          <w:rFonts w:ascii="Tinos" w:hAnsi="Tinos" w:cs="Tinos"/>
          <w:b/>
          <w:bCs/>
          <w:color w:val="000000"/>
          <w:sz w:val="28"/>
          <w:szCs w:val="28"/>
        </w:rPr>
      </w:r>
    </w:p>
    <w:p>
      <w:pPr>
        <w:ind w:left="0" w:right="0" w:firstLine="0"/>
        <w:jc w:val="both"/>
        <w:spacing w:before="0" w:after="0" w:line="240" w:lineRule="auto"/>
        <w:rPr>
          <w:rFonts w:ascii="Tinos" w:hAnsi="Tinos" w:cs="Tinos"/>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b/>
          <w:color w:val="000000"/>
          <w:sz w:val="28"/>
          <w:szCs w:val="28"/>
          <w:highlight w:val="none"/>
        </w:rPr>
      </w:r>
      <w:r>
        <w:rPr>
          <w:rFonts w:ascii="Tinos" w:hAnsi="Tinos" w:eastAsia="Tinos" w:cs="Tinos"/>
          <w:b/>
          <w:color w:val="000000"/>
          <w:sz w:val="28"/>
          <w:szCs w:val="28"/>
          <w:highlight w:val="none"/>
        </w:rPr>
      </w:r>
      <w:r>
        <w:rPr>
          <w:rFonts w:ascii="Tinos" w:hAnsi="Tinos" w:cs="Tinos"/>
          <w:b/>
          <w:bCs/>
          <w:color w:val="000000"/>
          <w:sz w:val="28"/>
          <w:szCs w:val="28"/>
          <w:highlight w:val="none"/>
        </w:rPr>
      </w:r>
    </w:p>
    <w:p>
      <w:pPr>
        <w:ind w:left="0" w:right="0" w:firstLine="0"/>
        <w:jc w:val="both"/>
        <w:spacing w:before="0" w:after="0" w:line="240" w:lineRule="auto"/>
        <w:rPr>
          <w:rFonts w:ascii="Tinos" w:hAnsi="Tinos" w:cs="Tinos"/>
          <w:b/>
          <w:bCs/>
          <w:i/>
          <w:color w:val="000000"/>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b/>
          <w:i/>
          <w:iCs/>
          <w:color w:val="000000"/>
          <w:sz w:val="28"/>
          <w:szCs w:val="28"/>
        </w:rPr>
        <w:t xml:space="preserve">Ч</w:t>
      </w:r>
      <w:r>
        <w:rPr>
          <w:rFonts w:ascii="Tinos" w:hAnsi="Tinos" w:eastAsia="Tinos" w:cs="Tinos"/>
          <w:b/>
          <w:i/>
          <w:iCs/>
          <w:color w:val="000000"/>
          <w:sz w:val="28"/>
          <w:szCs w:val="28"/>
        </w:rPr>
        <w:t xml:space="preserve">то необходимо знать правообладателям объектов недвижимости, участвующих в ККР.</w:t>
      </w:r>
      <w:r>
        <w:rPr>
          <w:rFonts w:ascii="Tinos" w:hAnsi="Tinos" w:eastAsia="Tinos" w:cs="Tinos"/>
          <w:i/>
          <w:iCs/>
          <w:sz w:val="28"/>
          <w:szCs w:val="28"/>
        </w:rPr>
      </w:r>
      <w:r>
        <w:rPr>
          <w:rFonts w:ascii="Tinos" w:hAnsi="Tinos" w:cs="Tinos"/>
          <w:b/>
          <w:bCs/>
          <w:i/>
          <w:color w:val="000000"/>
          <w:sz w:val="28"/>
          <w:szCs w:val="28"/>
          <w:highlight w:val="none"/>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highlight w:val="none"/>
        </w:rPr>
      </w:r>
      <w:r>
        <w:rPr>
          <w:rFonts w:ascii="Tinos" w:hAnsi="Tinos" w:eastAsia="Tinos" w:cs="Tinos"/>
          <w:color w:val="000000"/>
          <w:sz w:val="28"/>
          <w:szCs w:val="28"/>
          <w:highlight w:val="none"/>
        </w:rPr>
      </w:r>
      <w:r>
        <w:rPr>
          <w:rFonts w:ascii="Tinos" w:hAnsi="Tinos" w:cs="Tinos"/>
          <w:sz w:val="28"/>
          <w:szCs w:val="28"/>
        </w:rPr>
      </w:r>
    </w:p>
    <w:p>
      <w:pPr>
        <w:ind w:left="0" w:right="0" w:firstLine="0"/>
        <w:jc w:val="both"/>
        <w:spacing w:before="0" w:after="0" w:line="240" w:lineRule="auto"/>
        <w:rPr>
          <w:rFonts w:ascii="Tinos" w:hAnsi="Tinos" w:cs="Tinos"/>
          <w:color w:val="000000"/>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Комплексные кадастровые работы – установление на местности границ земельных участков на территории одного кадастрового квартала или нескольких смежных кадастровых кварталов в пределах муниципального образования, населенного пункта, садоводческого товарищес</w:t>
      </w:r>
      <w:r>
        <w:rPr>
          <w:rFonts w:ascii="Tinos" w:hAnsi="Tinos" w:eastAsia="Tinos" w:cs="Tinos"/>
          <w:color w:val="000000"/>
          <w:sz w:val="28"/>
          <w:szCs w:val="28"/>
        </w:rPr>
        <w:t xml:space="preserve">тва или гаражного кооператива.</w:t>
      </w:r>
      <w:r>
        <w:rPr>
          <w:rFonts w:ascii="Tinos" w:hAnsi="Tinos" w:eastAsia="Tinos" w:cs="Tinos"/>
          <w:sz w:val="28"/>
          <w:szCs w:val="28"/>
        </w:rPr>
      </w:r>
      <w:r>
        <w:rPr>
          <w:rFonts w:ascii="Tinos" w:hAnsi="Tinos" w:cs="Tinos"/>
          <w:color w:val="000000"/>
          <w:sz w:val="28"/>
          <w:szCs w:val="28"/>
          <w:highlight w:val="none"/>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По результатам выполнения ККР образуются новые земельные участки, уточняется местоположение границ земельных участков, расположенных на них зданий, сооружений, объектов незавершенного строительства, а также исправляются реестровые ошибки в сведениях о таки</w:t>
      </w:r>
      <w:r>
        <w:rPr>
          <w:rFonts w:ascii="Tinos" w:hAnsi="Tinos" w:eastAsia="Tinos" w:cs="Tinos"/>
          <w:color w:val="000000"/>
          <w:sz w:val="28"/>
          <w:szCs w:val="28"/>
        </w:rPr>
        <w:t xml:space="preserve">х объектах.</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Проведение ККР происходит за счет государственных средств, поэтому гражданам не придется платить за межевание своего земельного участка. Также не нужно обращаться и в орган регистрации прав для внесения новых сведений в Единый государственный реестр недвиж</w:t>
      </w:r>
      <w:r>
        <w:rPr>
          <w:rFonts w:ascii="Tinos" w:hAnsi="Tinos" w:eastAsia="Tinos" w:cs="Tinos"/>
          <w:color w:val="000000"/>
          <w:sz w:val="28"/>
          <w:szCs w:val="28"/>
        </w:rPr>
        <w:t xml:space="preserve">имости (ЕГРН).</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br/>
      </w:r>
      <w:r>
        <w:rPr>
          <w:rFonts w:ascii="Tinos" w:hAnsi="Tinos" w:eastAsia="Tinos" w:cs="Tinos"/>
          <w:color w:val="000000"/>
          <w:sz w:val="28"/>
          <w:szCs w:val="28"/>
        </w:rPr>
        <w:t xml:space="preserve">Граждане могут узнать, будут ли проводиться ККР в отношении конкретного участка, на сайте органов, по заказу которых проводятся такие работы, или на сайте Росреестра. Заказчик кадастровых работ должен разместить извещение о начале выполнения ККР и направит</w:t>
      </w:r>
      <w:r>
        <w:rPr>
          <w:rFonts w:ascii="Tinos" w:hAnsi="Tinos" w:eastAsia="Tinos" w:cs="Tinos"/>
          <w:color w:val="000000"/>
          <w:sz w:val="28"/>
          <w:szCs w:val="28"/>
        </w:rPr>
        <w:t xml:space="preserve">ь его в Росреестр в течение 10 дней с момента заключения контракта.</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Кадастровый инженер, который будет являться исполнителем ККР, должен известить собственников объектов недвижимости о проведении ККР по </w:t>
      </w:r>
      <w:r>
        <w:rPr>
          <w:rFonts w:ascii="Tinos" w:hAnsi="Tinos" w:eastAsia="Tinos" w:cs="Tinos"/>
          <w:color w:val="auto"/>
          <w:sz w:val="28"/>
          <w:szCs w:val="28"/>
        </w:rPr>
        <w:t xml:space="preserve">электронному адресу</w:t>
      </w:r>
      <w:r>
        <w:rPr>
          <w:rFonts w:ascii="Tinos" w:hAnsi="Tinos" w:eastAsia="Tinos" w:cs="Tinos"/>
          <w:color w:val="000000"/>
          <w:sz w:val="28"/>
          <w:szCs w:val="28"/>
        </w:rPr>
        <w:t xml:space="preserve">, если такие сведения имеются в ЕГРН.</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Указанную информацию о начале проведения ККР можно увидеть и на информационных щитах органов местного самоуправления муниципального района, сельского поселения, на территории которых планируется ККР.</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color w:val="000000"/>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Основанием для выполнения комплексных кадастровых работ является государственный или муниципальный контракт.</w:t>
      </w:r>
      <w:r>
        <w:rPr>
          <w:rFonts w:ascii="Tinos" w:hAnsi="Tinos" w:eastAsia="Tinos" w:cs="Tinos"/>
          <w:sz w:val="28"/>
          <w:szCs w:val="28"/>
        </w:rPr>
      </w:r>
      <w:r>
        <w:rPr>
          <w:rFonts w:ascii="Tinos" w:hAnsi="Tinos" w:cs="Tinos"/>
          <w:color w:val="000000"/>
          <w:sz w:val="28"/>
          <w:szCs w:val="28"/>
          <w:highlight w:val="none"/>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highlight w:val="none"/>
        </w:rPr>
      </w:r>
      <w:r>
        <w:rPr>
          <w:rFonts w:ascii="Tinos" w:hAnsi="Tinos" w:eastAsia="Tinos" w:cs="Tinos"/>
          <w:color w:val="000000"/>
          <w:sz w:val="28"/>
          <w:szCs w:val="28"/>
          <w:highlight w:val="none"/>
        </w:rPr>
      </w:r>
      <w:r>
        <w:rPr>
          <w:rFonts w:ascii="Tinos" w:hAnsi="Tinos" w:cs="Tinos"/>
          <w:sz w:val="28"/>
          <w:szCs w:val="28"/>
        </w:rPr>
      </w:r>
    </w:p>
    <w:p>
      <w:pPr>
        <w:ind w:left="0" w:right="0" w:firstLine="0"/>
        <w:jc w:val="both"/>
        <w:spacing w:before="0" w:after="0" w:line="240" w:lineRule="auto"/>
        <w:rPr>
          <w:rFonts w:ascii="Tinos" w:hAnsi="Tinos" w:cs="Tinos"/>
          <w:color w:val="000000"/>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Комплексные кадастровые работы проводятся в следующем порядке:</w:t>
        <w:br/>
        <w:t xml:space="preserve">кадастровый инженер разрабатывает проект карты-плана территории, далее</w:t>
        <w:br/>
        <w:t xml:space="preserve">согласительная комиссия согласовывает местоположение границ земельных участков. В заключении, заказчик утверждает и предст</w:t>
      </w:r>
      <w:r>
        <w:rPr>
          <w:rFonts w:ascii="Tinos" w:hAnsi="Tinos" w:eastAsia="Tinos" w:cs="Tinos"/>
          <w:color w:val="000000"/>
          <w:sz w:val="28"/>
          <w:szCs w:val="28"/>
        </w:rPr>
        <w:t xml:space="preserve">авляет карту-план в Управление Росреестра по Республике Адыгея.</w:t>
      </w:r>
      <w:r>
        <w:rPr>
          <w:rFonts w:ascii="Tinos" w:hAnsi="Tinos" w:eastAsia="Tinos" w:cs="Tinos"/>
          <w:sz w:val="28"/>
          <w:szCs w:val="28"/>
        </w:rPr>
      </w:r>
      <w:r>
        <w:rPr>
          <w:rFonts w:ascii="Tinos" w:hAnsi="Tinos" w:cs="Tinos"/>
          <w:color w:val="000000"/>
          <w:sz w:val="28"/>
          <w:szCs w:val="28"/>
          <w:highlight w:val="none"/>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highlight w:val="none"/>
        </w:rPr>
      </w:r>
      <w:r>
        <w:rPr>
          <w:rFonts w:ascii="Tinos" w:hAnsi="Tinos" w:eastAsia="Tinos" w:cs="Tinos"/>
          <w:color w:val="000000"/>
          <w:sz w:val="28"/>
          <w:szCs w:val="28"/>
          <w:highlight w:val="none"/>
        </w:rPr>
      </w:r>
      <w:r>
        <w:rPr>
          <w:rFonts w:ascii="Tinos" w:hAnsi="Tinos" w:cs="Tinos"/>
          <w:sz w:val="28"/>
          <w:szCs w:val="28"/>
        </w:rPr>
      </w:r>
    </w:p>
    <w:p>
      <w:pPr>
        <w:ind w:firstLine="0"/>
        <w:jc w:val="both"/>
        <w:spacing w:line="240" w:lineRule="auto"/>
        <w:rPr>
          <w:rFonts w:ascii="Tinos" w:hAnsi="Tinos" w:cs="Tinos"/>
          <w:sz w:val="28"/>
          <w:szCs w:val="28"/>
        </w:rPr>
      </w:pPr>
      <w:r>
        <w:rPr>
          <w:rFonts w:ascii="Tinos" w:hAnsi="Tinos" w:eastAsia="Tinos" w:cs="Tinos"/>
          <w:sz w:val="28"/>
          <w:szCs w:val="28"/>
        </w:rPr>
      </w:r>
      <w:r>
        <w:rPr>
          <w:rFonts w:ascii="Tinos" w:hAnsi="Tinos" w:eastAsia="Tinos" w:cs="Tinos"/>
          <w:color w:val="000000"/>
          <w:sz w:val="28"/>
          <w:szCs w:val="28"/>
        </w:rPr>
        <w:t xml:space="preserve">Владельцы недвижимости имеют право запросить у кадастрового инженера документ, удостоверяющий личность, копию государственного или муниципального контракта, а также справку с места работы, подтверждающую, что кадастровый инженер является работником юридиче</w:t>
      </w:r>
      <w:r>
        <w:rPr>
          <w:rFonts w:ascii="Tinos" w:hAnsi="Tinos" w:eastAsia="Tinos" w:cs="Tinos"/>
          <w:color w:val="000000"/>
          <w:sz w:val="28"/>
          <w:szCs w:val="28"/>
        </w:rPr>
        <w:t xml:space="preserve">ского лица, с которым заключен данный контракт.</w:t>
      </w:r>
      <w:r>
        <w:rPr>
          <w:rFonts w:ascii="Tinos" w:hAnsi="Tinos" w:eastAsia="Tinos" w:cs="Tinos"/>
          <w:color w:val="292c2f"/>
          <w:sz w:val="28"/>
          <w:szCs w:val="28"/>
          <w:highlight w:val="none"/>
        </w:rPr>
      </w:r>
      <w:r>
        <w:rPr>
          <w:rFonts w:ascii="Tinos" w:hAnsi="Tinos" w:cs="Tinos"/>
          <w:sz w:val="28"/>
          <w:szCs w:val="28"/>
        </w:rPr>
      </w:r>
    </w:p>
    <w:p>
      <w:pPr>
        <w:ind w:firstLine="0"/>
        <w:jc w:val="both"/>
        <w:spacing w:line="240" w:lineRule="auto"/>
        <w:rPr>
          <w:rFonts w:ascii="Tinos" w:hAnsi="Tinos" w:cs="Tinos"/>
          <w:sz w:val="28"/>
          <w:szCs w:val="28"/>
        </w:rPr>
      </w:pPr>
      <w:r>
        <w:rPr>
          <w:rFonts w:ascii="Tinos" w:hAnsi="Tinos" w:eastAsia="Tinos" w:cs="Tinos"/>
          <w:sz w:val="28"/>
          <w:szCs w:val="28"/>
        </w:rPr>
      </w:r>
      <w:r>
        <w:rPr>
          <w:rFonts w:ascii="Tinos" w:hAnsi="Tinos" w:eastAsia="Tinos" w:cs="Tinos"/>
          <w:color w:val="000000"/>
          <w:sz w:val="28"/>
          <w:szCs w:val="28"/>
        </w:rPr>
        <w:t xml:space="preserve">Если владельцы недвижимости не согласны с местоположением границ земельного участка в соответствии с проектом карты-плана территории, то они должны предоставить свои возражения заказчику работ. При отсутствии таких возражений местоположение границ земельно</w:t>
      </w:r>
      <w:r>
        <w:rPr>
          <w:rFonts w:ascii="Tinos" w:hAnsi="Tinos" w:eastAsia="Tinos" w:cs="Tinos"/>
          <w:color w:val="000000"/>
          <w:sz w:val="28"/>
          <w:szCs w:val="28"/>
        </w:rPr>
        <w:t xml:space="preserve">го участка считается согласованным.</w:t>
      </w:r>
      <w:r>
        <w:rPr>
          <w:rFonts w:ascii="Tinos" w:hAnsi="Tinos" w:eastAsia="Tinos" w:cs="Tinos"/>
          <w:color w:val="292c2f"/>
          <w:sz w:val="28"/>
          <w:szCs w:val="28"/>
          <w:highlight w:val="none"/>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Правообладатели земельных участков могут заказывать комплексные кадастровые работы как лично, так и коллективно на собственные средства.</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В настоящее время заказчиками работ могут выступать садоводческие товарищества, гаражные кооперативы. ККР можно будет проводить на территории СНТ или поселка сразу для всех объектов, что будет намного дешевле, чем заказывать обычную процедуру межевания каж</w:t>
      </w:r>
      <w:r>
        <w:rPr>
          <w:rFonts w:ascii="Tinos" w:hAnsi="Tinos" w:eastAsia="Tinos" w:cs="Tinos"/>
          <w:color w:val="000000"/>
          <w:sz w:val="28"/>
          <w:szCs w:val="28"/>
        </w:rPr>
        <w:t xml:space="preserve">дого участка в отдельности.</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br/>
      </w:r>
      <w:r>
        <w:rPr>
          <w:rFonts w:ascii="Tinos" w:hAnsi="Tinos" w:eastAsia="Tinos" w:cs="Tinos"/>
          <w:color w:val="000000"/>
          <w:sz w:val="28"/>
          <w:szCs w:val="28"/>
        </w:rPr>
        <w:t xml:space="preserve">Если собственники объектов недвижимости конкретной территории решили провести ККР за счет собственных средств, необходимо для начала выяснить у местной администрации и в </w:t>
      </w:r>
      <w:r>
        <w:rPr>
          <w:rFonts w:ascii="Tinos" w:hAnsi="Tinos" w:eastAsia="Tinos" w:cs="Tinos"/>
          <w:b w:val="0"/>
          <w:bCs w:val="0"/>
          <w:color w:val="333333"/>
          <w:sz w:val="28"/>
          <w:szCs w:val="28"/>
          <w:highlight w:val="white"/>
        </w:rPr>
        <w:t xml:space="preserve">Комитет</w:t>
      </w:r>
      <w:r>
        <w:rPr>
          <w:rFonts w:ascii="Tinos" w:hAnsi="Tinos" w:eastAsia="Tinos" w:cs="Tinos"/>
          <w:b w:val="0"/>
          <w:bCs w:val="0"/>
          <w:color w:val="333333"/>
          <w:sz w:val="28"/>
          <w:szCs w:val="28"/>
          <w:highlight w:val="white"/>
        </w:rPr>
        <w:t xml:space="preserve"> Республики </w:t>
      </w:r>
      <w:r>
        <w:rPr>
          <w:rFonts w:ascii="Tinos" w:hAnsi="Tinos" w:eastAsia="Tinos" w:cs="Tinos"/>
          <w:b w:val="0"/>
          <w:bCs w:val="0"/>
          <w:color w:val="333333"/>
          <w:sz w:val="28"/>
          <w:szCs w:val="28"/>
          <w:highlight w:val="white"/>
        </w:rPr>
        <w:t xml:space="preserve">Адыгея</w:t>
      </w:r>
      <w:r>
        <w:rPr>
          <w:rFonts w:ascii="Tinos" w:hAnsi="Tinos" w:eastAsia="Tinos" w:cs="Tinos"/>
          <w:b w:val="0"/>
          <w:bCs w:val="0"/>
          <w:color w:val="333333"/>
          <w:sz w:val="28"/>
          <w:szCs w:val="28"/>
          <w:highlight w:val="white"/>
        </w:rPr>
        <w:t xml:space="preserve"> </w:t>
      </w:r>
      <w:r>
        <w:rPr>
          <w:rFonts w:ascii="Tinos" w:hAnsi="Tinos" w:eastAsia="Tinos" w:cs="Tinos"/>
          <w:color w:val="333333"/>
          <w:sz w:val="28"/>
          <w:szCs w:val="28"/>
          <w:highlight w:val="white"/>
        </w:rPr>
        <w:t xml:space="preserve">по имущественным отношениям</w:t>
      </w:r>
      <w:r>
        <w:rPr>
          <w:rFonts w:ascii="Tinos" w:hAnsi="Tinos" w:eastAsia="Tinos" w:cs="Tinos"/>
          <w:color w:val="000000"/>
          <w:sz w:val="28"/>
          <w:szCs w:val="28"/>
        </w:rPr>
        <w:t xml:space="preserve">, не планируется ли выполнение</w:t>
      </w:r>
      <w:r>
        <w:rPr>
          <w:rFonts w:ascii="Tinos" w:hAnsi="Tinos" w:eastAsia="Tinos" w:cs="Tinos"/>
          <w:color w:val="000000"/>
          <w:sz w:val="28"/>
          <w:szCs w:val="28"/>
        </w:rPr>
        <w:t xml:space="preserve"> комплексных кадастровых работ на интересующей территории за счет бюджетных средств, направив запрос, для исключения дублирования работ.</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Далее необходимо выбрать кадастрового инженера и заключить с ним договор подряда на выполнение таких работ. По итогам кадастровый инженер предоставляет собственникам карту-план территории.</w:t>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ind w:left="0" w:right="0" w:firstLine="0"/>
        <w:jc w:val="both"/>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sz w:val="28"/>
          <w:szCs w:val="28"/>
        </w:rPr>
        <w:t xml:space="preserve">Заказчики (или уполномоченное ими лицо) направляют карту-план в орган местного самоуправления для передачи в согласительную комиссию. После рассмотрения в согласительной комиссии она утверждается уполномоченным органом и направляется в орган регистрации пр</w:t>
      </w:r>
      <w:r>
        <w:rPr>
          <w:rFonts w:ascii="Tinos" w:hAnsi="Tinos" w:eastAsia="Tinos" w:cs="Tinos"/>
          <w:color w:val="000000"/>
          <w:sz w:val="28"/>
          <w:szCs w:val="28"/>
        </w:rPr>
        <w:t xml:space="preserve">ав для внесения сведений в ЕГРН.</w:t>
      </w:r>
      <w:r>
        <w:rPr>
          <w:rFonts w:ascii="Tinos" w:hAnsi="Tinos" w:eastAsia="Tinos" w:cs="Tinos"/>
          <w:sz w:val="28"/>
          <w:szCs w:val="28"/>
        </w:rPr>
      </w:r>
      <w:r>
        <w:rPr>
          <w:rFonts w:ascii="Tinos" w:hAnsi="Tinos" w:cs="Tinos"/>
          <w:sz w:val="28"/>
          <w:szCs w:val="28"/>
        </w:rPr>
      </w:r>
    </w:p>
    <w:p>
      <w:pPr>
        <w:ind w:firstLine="0"/>
        <w:jc w:val="both"/>
        <w:spacing w:line="360" w:lineRule="auto"/>
        <w:rPr>
          <w:rFonts w:ascii="Tinos" w:hAnsi="Tinos" w:cs="Tinos"/>
          <w:color w:val="292c2f"/>
          <w:sz w:val="28"/>
          <w:szCs w:val="28"/>
          <w:highlight w:val="none"/>
        </w:rPr>
      </w:pPr>
      <w:r>
        <w:rPr>
          <w:rFonts w:ascii="Tinos" w:hAnsi="Tinos" w:eastAsia="Tinos" w:cs="Tinos"/>
          <w:sz w:val="28"/>
          <w:szCs w:val="28"/>
        </w:rPr>
      </w:r>
      <w:r>
        <w:rPr>
          <w:rFonts w:ascii="Tinos" w:hAnsi="Tinos" w:eastAsia="Tinos" w:cs="Tinos"/>
          <w:sz w:val="28"/>
          <w:szCs w:val="28"/>
        </w:rPr>
        <w:br/>
      </w:r>
      <w:r>
        <w:rPr>
          <w:rFonts w:ascii="Tinos" w:hAnsi="Tinos" w:eastAsia="Tinos" w:cs="Tinos"/>
          <w:sz w:val="28"/>
          <w:szCs w:val="28"/>
        </w:rPr>
      </w:r>
      <w:r>
        <w:rPr>
          <w:rFonts w:ascii="Tinos" w:hAnsi="Tinos" w:cs="Tinos"/>
          <w:color w:val="292c2f"/>
          <w:sz w:val="28"/>
          <w:szCs w:val="28"/>
          <w:highlight w:val="none"/>
        </w:rPr>
      </w:r>
    </w:p>
    <w:p>
      <w:pPr>
        <w:ind w:firstLine="709"/>
        <w:jc w:val="both"/>
        <w:spacing w:line="360" w:lineRule="auto"/>
        <w:rPr>
          <w:rFonts w:ascii="Tinos" w:hAnsi="Tinos" w:cs="Tinos"/>
          <w:color w:val="292c2f"/>
          <w:sz w:val="28"/>
          <w:szCs w:val="28"/>
          <w:highlight w:val="none"/>
        </w:rPr>
      </w:pPr>
      <w:r>
        <w:rPr>
          <w:rFonts w:ascii="Tinos" w:hAnsi="Tinos" w:eastAsia="Tinos" w:cs="Tinos"/>
          <w:color w:val="292c2f"/>
          <w:sz w:val="28"/>
          <w:szCs w:val="28"/>
          <w:highlight w:val="none"/>
        </w:rPr>
      </w:r>
      <w:r>
        <w:rPr>
          <w:rFonts w:ascii="Tinos" w:hAnsi="Tinos" w:cs="Tinos"/>
          <w:color w:val="292c2f"/>
          <w:sz w:val="28"/>
          <w:szCs w:val="28"/>
          <w:highlight w:val="none"/>
        </w:rPr>
      </w:r>
      <w:r>
        <w:rPr>
          <w:rFonts w:ascii="Tinos" w:hAnsi="Tinos" w:cs="Tinos"/>
          <w:color w:val="292c2f"/>
          <w:sz w:val="28"/>
          <w:szCs w:val="28"/>
          <w:highlight w:val="none"/>
        </w:rPr>
      </w:r>
    </w:p>
    <w:p>
      <w:pPr>
        <w:jc w:val="both"/>
        <w:spacing w:before="100" w:beforeAutospacing="1" w:after="100" w:afterAutospacing="1" w:line="240" w:lineRule="auto"/>
        <w:rPr>
          <w:rFonts w:ascii="Times New Roman" w:hAnsi="Times New Roman" w:eastAsia="Times New Roman" w:cs="Times New Roman"/>
          <w:b/>
          <w:bCs/>
          <w:sz w:val="28"/>
          <w:szCs w:val="28"/>
          <w:lang w:eastAsia="ru-RU"/>
        </w:rPr>
        <w:outlineLvl w:val="1"/>
      </w:pPr>
      <w:r>
        <w:rPr>
          <w:rFonts w:ascii="Times New Roman" w:hAnsi="Times New Roman" w:eastAsia="Times New Roman" w:cs="Times New Roman"/>
          <w:b/>
          <w:bCs/>
          <w:sz w:val="28"/>
          <w:szCs w:val="28"/>
          <w:lang w:eastAsia="ru-RU"/>
        </w:rPr>
        <w:t xml:space="preserve">------------------------------------</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Контакты для СМИ: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(8772)56-02-48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01_upr@rosreestr.ru</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www.rosreestr.gov.ru</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385000, Майкоп, ул. </w:t>
      </w:r>
      <w:r>
        <w:rPr>
          <w:rFonts w:ascii="Times New Roman" w:hAnsi="Times New Roman" w:eastAsia="Times New Roman" w:cs="Times New Roman"/>
          <w:sz w:val="24"/>
          <w:szCs w:val="24"/>
          <w:lang w:eastAsia="ru-RU"/>
        </w:rPr>
        <w:t xml:space="preserve">Краснооктябрьская</w:t>
      </w:r>
      <w:r>
        <w:rPr>
          <w:rFonts w:ascii="Times New Roman" w:hAnsi="Times New Roman" w:eastAsia="Times New Roman" w:cs="Times New Roman"/>
          <w:sz w:val="24"/>
          <w:szCs w:val="24"/>
          <w:lang w:eastAsia="ru-RU"/>
        </w:rPr>
        <w:t xml:space="preserve">, д. 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sectPr>
      <w:footnotePr/>
      <w:endnotePr/>
      <w:type w:val="nextPage"/>
      <w:pgSz w:w="11906" w:h="16838" w:orient="portrait"/>
      <w:pgMar w:top="907"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nos">
    <w:panose1 w:val="02020603050405020304"/>
  </w:font>
  <w:font w:name="Wingdings">
    <w:panose1 w:val="05010000000000000000"/>
  </w:font>
  <w:font w:name="Courier New">
    <w:panose1 w:val="02070409020205020404"/>
  </w:font>
  <w:font w:name="Symbol">
    <w:panose1 w:val="05010000000000000000"/>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0"/>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3"/>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8"/>
  </w:num>
  <w:num w:numId="2">
    <w:abstractNumId w:val="3"/>
  </w:num>
  <w:num w:numId="3">
    <w:abstractNumId w:val="6"/>
  </w:num>
  <w:num w:numId="4">
    <w:abstractNumId w:val="11"/>
  </w:num>
  <w:num w:numId="5">
    <w:abstractNumId w:val="9"/>
  </w:num>
  <w:num w:numId="6">
    <w:abstractNumId w:val="7"/>
  </w:num>
  <w:num w:numId="7">
    <w:abstractNumId w:val="0"/>
  </w:num>
  <w:num w:numId="8">
    <w:abstractNumId w:val="1"/>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8">
    <w:name w:val="Heading 1 Char"/>
    <w:basedOn w:val="853"/>
    <w:link w:val="852"/>
    <w:uiPriority w:val="9"/>
    <w:rPr>
      <w:rFonts w:ascii="Arial" w:hAnsi="Arial" w:eastAsia="Arial" w:cs="Arial"/>
      <w:sz w:val="40"/>
      <w:szCs w:val="40"/>
    </w:rPr>
  </w:style>
  <w:style w:type="paragraph" w:styleId="679">
    <w:name w:val="Heading 2"/>
    <w:basedOn w:val="851"/>
    <w:next w:val="851"/>
    <w:link w:val="680"/>
    <w:uiPriority w:val="9"/>
    <w:unhideWhenUsed/>
    <w:qFormat/>
    <w:pPr>
      <w:keepLines/>
      <w:keepNext/>
      <w:spacing w:before="360" w:after="200"/>
      <w:outlineLvl w:val="1"/>
    </w:pPr>
    <w:rPr>
      <w:rFonts w:ascii="Arial" w:hAnsi="Arial" w:eastAsia="Arial" w:cs="Arial"/>
      <w:sz w:val="34"/>
    </w:rPr>
  </w:style>
  <w:style w:type="character" w:styleId="680">
    <w:name w:val="Heading 2 Char"/>
    <w:basedOn w:val="853"/>
    <w:link w:val="679"/>
    <w:uiPriority w:val="9"/>
    <w:rPr>
      <w:rFonts w:ascii="Arial" w:hAnsi="Arial" w:eastAsia="Arial" w:cs="Arial"/>
      <w:sz w:val="34"/>
    </w:rPr>
  </w:style>
  <w:style w:type="paragraph" w:styleId="681">
    <w:name w:val="Heading 3"/>
    <w:basedOn w:val="851"/>
    <w:next w:val="851"/>
    <w:link w:val="682"/>
    <w:uiPriority w:val="9"/>
    <w:unhideWhenUsed/>
    <w:qFormat/>
    <w:pPr>
      <w:keepLines/>
      <w:keepNext/>
      <w:spacing w:before="320" w:after="200"/>
      <w:outlineLvl w:val="2"/>
    </w:pPr>
    <w:rPr>
      <w:rFonts w:ascii="Arial" w:hAnsi="Arial" w:eastAsia="Arial" w:cs="Arial"/>
      <w:sz w:val="30"/>
      <w:szCs w:val="30"/>
    </w:rPr>
  </w:style>
  <w:style w:type="character" w:styleId="682">
    <w:name w:val="Heading 3 Char"/>
    <w:basedOn w:val="853"/>
    <w:link w:val="681"/>
    <w:uiPriority w:val="9"/>
    <w:rPr>
      <w:rFonts w:ascii="Arial" w:hAnsi="Arial" w:eastAsia="Arial" w:cs="Arial"/>
      <w:sz w:val="30"/>
      <w:szCs w:val="30"/>
    </w:rPr>
  </w:style>
  <w:style w:type="paragraph" w:styleId="683">
    <w:name w:val="Heading 4"/>
    <w:basedOn w:val="851"/>
    <w:next w:val="851"/>
    <w:link w:val="684"/>
    <w:uiPriority w:val="9"/>
    <w:unhideWhenUsed/>
    <w:qFormat/>
    <w:pPr>
      <w:keepLines/>
      <w:keepNext/>
      <w:spacing w:before="320" w:after="200"/>
      <w:outlineLvl w:val="3"/>
    </w:pPr>
    <w:rPr>
      <w:rFonts w:ascii="Arial" w:hAnsi="Arial" w:eastAsia="Arial" w:cs="Arial"/>
      <w:b/>
      <w:bCs/>
      <w:sz w:val="26"/>
      <w:szCs w:val="26"/>
    </w:rPr>
  </w:style>
  <w:style w:type="character" w:styleId="684">
    <w:name w:val="Heading 4 Char"/>
    <w:basedOn w:val="853"/>
    <w:link w:val="683"/>
    <w:uiPriority w:val="9"/>
    <w:rPr>
      <w:rFonts w:ascii="Arial" w:hAnsi="Arial" w:eastAsia="Arial" w:cs="Arial"/>
      <w:b/>
      <w:bCs/>
      <w:sz w:val="26"/>
      <w:szCs w:val="26"/>
    </w:rPr>
  </w:style>
  <w:style w:type="paragraph" w:styleId="685">
    <w:name w:val="Heading 5"/>
    <w:basedOn w:val="851"/>
    <w:next w:val="851"/>
    <w:link w:val="686"/>
    <w:uiPriority w:val="9"/>
    <w:unhideWhenUsed/>
    <w:qFormat/>
    <w:pPr>
      <w:keepLines/>
      <w:keepNext/>
      <w:spacing w:before="320" w:after="200"/>
      <w:outlineLvl w:val="4"/>
    </w:pPr>
    <w:rPr>
      <w:rFonts w:ascii="Arial" w:hAnsi="Arial" w:eastAsia="Arial" w:cs="Arial"/>
      <w:b/>
      <w:bCs/>
      <w:sz w:val="24"/>
      <w:szCs w:val="24"/>
    </w:rPr>
  </w:style>
  <w:style w:type="character" w:styleId="686">
    <w:name w:val="Heading 5 Char"/>
    <w:basedOn w:val="853"/>
    <w:link w:val="685"/>
    <w:uiPriority w:val="9"/>
    <w:rPr>
      <w:rFonts w:ascii="Arial" w:hAnsi="Arial" w:eastAsia="Arial" w:cs="Arial"/>
      <w:b/>
      <w:bCs/>
      <w:sz w:val="24"/>
      <w:szCs w:val="24"/>
    </w:rPr>
  </w:style>
  <w:style w:type="paragraph" w:styleId="687">
    <w:name w:val="Heading 6"/>
    <w:basedOn w:val="851"/>
    <w:next w:val="851"/>
    <w:link w:val="688"/>
    <w:uiPriority w:val="9"/>
    <w:unhideWhenUsed/>
    <w:qFormat/>
    <w:pPr>
      <w:keepLines/>
      <w:keepNext/>
      <w:spacing w:before="320" w:after="200"/>
      <w:outlineLvl w:val="5"/>
    </w:pPr>
    <w:rPr>
      <w:rFonts w:ascii="Arial" w:hAnsi="Arial" w:eastAsia="Arial" w:cs="Arial"/>
      <w:b/>
      <w:bCs/>
      <w:sz w:val="22"/>
      <w:szCs w:val="22"/>
    </w:rPr>
  </w:style>
  <w:style w:type="character" w:styleId="688">
    <w:name w:val="Heading 6 Char"/>
    <w:basedOn w:val="853"/>
    <w:link w:val="687"/>
    <w:uiPriority w:val="9"/>
    <w:rPr>
      <w:rFonts w:ascii="Arial" w:hAnsi="Arial" w:eastAsia="Arial" w:cs="Arial"/>
      <w:b/>
      <w:bCs/>
      <w:sz w:val="22"/>
      <w:szCs w:val="22"/>
    </w:rPr>
  </w:style>
  <w:style w:type="paragraph" w:styleId="689">
    <w:name w:val="Heading 7"/>
    <w:basedOn w:val="851"/>
    <w:next w:val="851"/>
    <w:link w:val="690"/>
    <w:uiPriority w:val="9"/>
    <w:unhideWhenUsed/>
    <w:qFormat/>
    <w:pPr>
      <w:keepLines/>
      <w:keepNext/>
      <w:spacing w:before="320" w:after="200"/>
      <w:outlineLvl w:val="6"/>
    </w:pPr>
    <w:rPr>
      <w:rFonts w:ascii="Arial" w:hAnsi="Arial" w:eastAsia="Arial" w:cs="Arial"/>
      <w:b/>
      <w:bCs/>
      <w:i/>
      <w:iCs/>
      <w:sz w:val="22"/>
      <w:szCs w:val="22"/>
    </w:rPr>
  </w:style>
  <w:style w:type="character" w:styleId="690">
    <w:name w:val="Heading 7 Char"/>
    <w:basedOn w:val="853"/>
    <w:link w:val="689"/>
    <w:uiPriority w:val="9"/>
    <w:rPr>
      <w:rFonts w:ascii="Arial" w:hAnsi="Arial" w:eastAsia="Arial" w:cs="Arial"/>
      <w:b/>
      <w:bCs/>
      <w:i/>
      <w:iCs/>
      <w:sz w:val="22"/>
      <w:szCs w:val="22"/>
    </w:rPr>
  </w:style>
  <w:style w:type="paragraph" w:styleId="691">
    <w:name w:val="Heading 8"/>
    <w:basedOn w:val="851"/>
    <w:next w:val="851"/>
    <w:link w:val="692"/>
    <w:uiPriority w:val="9"/>
    <w:unhideWhenUsed/>
    <w:qFormat/>
    <w:pPr>
      <w:keepLines/>
      <w:keepNext/>
      <w:spacing w:before="320" w:after="200"/>
      <w:outlineLvl w:val="7"/>
    </w:pPr>
    <w:rPr>
      <w:rFonts w:ascii="Arial" w:hAnsi="Arial" w:eastAsia="Arial" w:cs="Arial"/>
      <w:i/>
      <w:iCs/>
      <w:sz w:val="22"/>
      <w:szCs w:val="22"/>
    </w:rPr>
  </w:style>
  <w:style w:type="character" w:styleId="692">
    <w:name w:val="Heading 8 Char"/>
    <w:basedOn w:val="853"/>
    <w:link w:val="691"/>
    <w:uiPriority w:val="9"/>
    <w:rPr>
      <w:rFonts w:ascii="Arial" w:hAnsi="Arial" w:eastAsia="Arial" w:cs="Arial"/>
      <w:i/>
      <w:iCs/>
      <w:sz w:val="22"/>
      <w:szCs w:val="22"/>
    </w:rPr>
  </w:style>
  <w:style w:type="paragraph" w:styleId="693">
    <w:name w:val="Heading 9"/>
    <w:basedOn w:val="851"/>
    <w:next w:val="851"/>
    <w:link w:val="694"/>
    <w:uiPriority w:val="9"/>
    <w:unhideWhenUsed/>
    <w:qFormat/>
    <w:pPr>
      <w:keepLines/>
      <w:keepNext/>
      <w:spacing w:before="320" w:after="200"/>
      <w:outlineLvl w:val="8"/>
    </w:pPr>
    <w:rPr>
      <w:rFonts w:ascii="Arial" w:hAnsi="Arial" w:eastAsia="Arial" w:cs="Arial"/>
      <w:i/>
      <w:iCs/>
      <w:sz w:val="21"/>
      <w:szCs w:val="21"/>
    </w:rPr>
  </w:style>
  <w:style w:type="character" w:styleId="694">
    <w:name w:val="Heading 9 Char"/>
    <w:basedOn w:val="853"/>
    <w:link w:val="693"/>
    <w:uiPriority w:val="9"/>
    <w:rPr>
      <w:rFonts w:ascii="Arial" w:hAnsi="Arial" w:eastAsia="Arial" w:cs="Arial"/>
      <w:i/>
      <w:iCs/>
      <w:sz w:val="21"/>
      <w:szCs w:val="21"/>
    </w:rPr>
  </w:style>
  <w:style w:type="paragraph" w:styleId="695">
    <w:name w:val="Title"/>
    <w:basedOn w:val="851"/>
    <w:next w:val="851"/>
    <w:link w:val="696"/>
    <w:uiPriority w:val="10"/>
    <w:qFormat/>
    <w:pPr>
      <w:contextualSpacing/>
      <w:spacing w:before="300" w:after="200"/>
    </w:pPr>
    <w:rPr>
      <w:sz w:val="48"/>
      <w:szCs w:val="48"/>
    </w:rPr>
  </w:style>
  <w:style w:type="character" w:styleId="696">
    <w:name w:val="Title Char"/>
    <w:basedOn w:val="853"/>
    <w:link w:val="695"/>
    <w:uiPriority w:val="10"/>
    <w:rPr>
      <w:sz w:val="48"/>
      <w:szCs w:val="48"/>
    </w:rPr>
  </w:style>
  <w:style w:type="paragraph" w:styleId="697">
    <w:name w:val="Subtitle"/>
    <w:basedOn w:val="851"/>
    <w:next w:val="851"/>
    <w:link w:val="698"/>
    <w:uiPriority w:val="11"/>
    <w:qFormat/>
    <w:pPr>
      <w:spacing w:before="200" w:after="200"/>
    </w:pPr>
    <w:rPr>
      <w:sz w:val="24"/>
      <w:szCs w:val="24"/>
    </w:rPr>
  </w:style>
  <w:style w:type="character" w:styleId="698">
    <w:name w:val="Subtitle Char"/>
    <w:basedOn w:val="853"/>
    <w:link w:val="697"/>
    <w:uiPriority w:val="11"/>
    <w:rPr>
      <w:sz w:val="24"/>
      <w:szCs w:val="24"/>
    </w:rPr>
  </w:style>
  <w:style w:type="paragraph" w:styleId="699">
    <w:name w:val="Quote"/>
    <w:basedOn w:val="851"/>
    <w:next w:val="851"/>
    <w:link w:val="700"/>
    <w:uiPriority w:val="29"/>
    <w:qFormat/>
    <w:pPr>
      <w:ind w:left="720" w:right="720"/>
    </w:pPr>
    <w:rPr>
      <w:i/>
    </w:rPr>
  </w:style>
  <w:style w:type="character" w:styleId="700">
    <w:name w:val="Quote Char"/>
    <w:link w:val="699"/>
    <w:uiPriority w:val="29"/>
    <w:rPr>
      <w:i/>
    </w:rPr>
  </w:style>
  <w:style w:type="paragraph" w:styleId="701">
    <w:name w:val="Intense Quote"/>
    <w:basedOn w:val="851"/>
    <w:next w:val="851"/>
    <w:link w:val="70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name w:val="Intense Quote Char"/>
    <w:link w:val="701"/>
    <w:uiPriority w:val="30"/>
    <w:rPr>
      <w:i/>
    </w:rPr>
  </w:style>
  <w:style w:type="paragraph" w:styleId="703">
    <w:name w:val="Header"/>
    <w:basedOn w:val="851"/>
    <w:link w:val="704"/>
    <w:uiPriority w:val="99"/>
    <w:unhideWhenUsed/>
    <w:pPr>
      <w:spacing w:after="0" w:line="240" w:lineRule="auto"/>
      <w:tabs>
        <w:tab w:val="center" w:pos="7143" w:leader="none"/>
        <w:tab w:val="right" w:pos="14287" w:leader="none"/>
      </w:tabs>
    </w:pPr>
  </w:style>
  <w:style w:type="character" w:styleId="704">
    <w:name w:val="Header Char"/>
    <w:basedOn w:val="853"/>
    <w:link w:val="703"/>
    <w:uiPriority w:val="99"/>
  </w:style>
  <w:style w:type="paragraph" w:styleId="705">
    <w:name w:val="Footer"/>
    <w:basedOn w:val="851"/>
    <w:link w:val="708"/>
    <w:uiPriority w:val="99"/>
    <w:unhideWhenUsed/>
    <w:pPr>
      <w:spacing w:after="0" w:line="240" w:lineRule="auto"/>
      <w:tabs>
        <w:tab w:val="center" w:pos="7143" w:leader="none"/>
        <w:tab w:val="right" w:pos="14287" w:leader="none"/>
      </w:tabs>
    </w:pPr>
  </w:style>
  <w:style w:type="character" w:styleId="706">
    <w:name w:val="Footer Char"/>
    <w:basedOn w:val="853"/>
    <w:link w:val="705"/>
    <w:uiPriority w:val="99"/>
  </w:style>
  <w:style w:type="paragraph" w:styleId="707">
    <w:name w:val="Caption"/>
    <w:basedOn w:val="851"/>
    <w:next w:val="851"/>
    <w:uiPriority w:val="35"/>
    <w:semiHidden/>
    <w:unhideWhenUsed/>
    <w:qFormat/>
    <w:pPr>
      <w:spacing w:line="276" w:lineRule="auto"/>
    </w:pPr>
    <w:rPr>
      <w:b/>
      <w:bCs/>
      <w:color w:val="4f81bd" w:themeColor="accent1"/>
      <w:sz w:val="18"/>
      <w:szCs w:val="18"/>
    </w:rPr>
  </w:style>
  <w:style w:type="character" w:styleId="708">
    <w:name w:val="Caption Char"/>
    <w:basedOn w:val="707"/>
    <w:link w:val="705"/>
    <w:uiPriority w:val="99"/>
  </w:style>
  <w:style w:type="table" w:styleId="709">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0">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6">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7">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8">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9">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0">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1">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2">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3">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4">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5">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6">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8">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9">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0">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1">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2">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3">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2">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3">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4">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5">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6">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7">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9">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0">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1">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2">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3">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4">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3">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7">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5">
    <w:name w:val="footnote text"/>
    <w:basedOn w:val="851"/>
    <w:link w:val="836"/>
    <w:uiPriority w:val="99"/>
    <w:semiHidden/>
    <w:unhideWhenUsed/>
    <w:pPr>
      <w:spacing w:after="40" w:line="240" w:lineRule="auto"/>
    </w:pPr>
    <w:rPr>
      <w:sz w:val="18"/>
    </w:rPr>
  </w:style>
  <w:style w:type="character" w:styleId="836">
    <w:name w:val="Footnote Text Char"/>
    <w:link w:val="835"/>
    <w:uiPriority w:val="99"/>
    <w:rPr>
      <w:sz w:val="18"/>
    </w:rPr>
  </w:style>
  <w:style w:type="character" w:styleId="837">
    <w:name w:val="footnote reference"/>
    <w:basedOn w:val="853"/>
    <w:uiPriority w:val="99"/>
    <w:unhideWhenUsed/>
    <w:rPr>
      <w:vertAlign w:val="superscript"/>
    </w:rPr>
  </w:style>
  <w:style w:type="paragraph" w:styleId="838">
    <w:name w:val="endnote text"/>
    <w:basedOn w:val="851"/>
    <w:link w:val="839"/>
    <w:uiPriority w:val="99"/>
    <w:semiHidden/>
    <w:unhideWhenUsed/>
    <w:pPr>
      <w:spacing w:after="0" w:line="240" w:lineRule="auto"/>
    </w:pPr>
    <w:rPr>
      <w:sz w:val="20"/>
    </w:rPr>
  </w:style>
  <w:style w:type="character" w:styleId="839">
    <w:name w:val="Endnote Text Char"/>
    <w:link w:val="838"/>
    <w:uiPriority w:val="99"/>
    <w:rPr>
      <w:sz w:val="20"/>
    </w:rPr>
  </w:style>
  <w:style w:type="character" w:styleId="840">
    <w:name w:val="endnote reference"/>
    <w:basedOn w:val="853"/>
    <w:uiPriority w:val="99"/>
    <w:semiHidden/>
    <w:unhideWhenUsed/>
    <w:rPr>
      <w:vertAlign w:val="superscript"/>
    </w:rPr>
  </w:style>
  <w:style w:type="paragraph" w:styleId="841">
    <w:name w:val="toc 1"/>
    <w:basedOn w:val="851"/>
    <w:next w:val="851"/>
    <w:uiPriority w:val="39"/>
    <w:unhideWhenUsed/>
    <w:pPr>
      <w:ind w:left="0" w:right="0" w:firstLine="0"/>
      <w:spacing w:after="57"/>
    </w:pPr>
  </w:style>
  <w:style w:type="paragraph" w:styleId="842">
    <w:name w:val="toc 2"/>
    <w:basedOn w:val="851"/>
    <w:next w:val="851"/>
    <w:uiPriority w:val="39"/>
    <w:unhideWhenUsed/>
    <w:pPr>
      <w:ind w:left="283" w:right="0" w:firstLine="0"/>
      <w:spacing w:after="57"/>
    </w:pPr>
  </w:style>
  <w:style w:type="paragraph" w:styleId="843">
    <w:name w:val="toc 3"/>
    <w:basedOn w:val="851"/>
    <w:next w:val="851"/>
    <w:uiPriority w:val="39"/>
    <w:unhideWhenUsed/>
    <w:pPr>
      <w:ind w:left="567" w:right="0" w:firstLine="0"/>
      <w:spacing w:after="57"/>
    </w:pPr>
  </w:style>
  <w:style w:type="paragraph" w:styleId="844">
    <w:name w:val="toc 5"/>
    <w:basedOn w:val="851"/>
    <w:next w:val="851"/>
    <w:uiPriority w:val="39"/>
    <w:unhideWhenUsed/>
    <w:pPr>
      <w:ind w:left="1134" w:right="0" w:firstLine="0"/>
      <w:spacing w:after="57"/>
    </w:pPr>
  </w:style>
  <w:style w:type="paragraph" w:styleId="845">
    <w:name w:val="toc 6"/>
    <w:basedOn w:val="851"/>
    <w:next w:val="851"/>
    <w:uiPriority w:val="39"/>
    <w:unhideWhenUsed/>
    <w:pPr>
      <w:ind w:left="1417" w:right="0" w:firstLine="0"/>
      <w:spacing w:after="57"/>
    </w:pPr>
  </w:style>
  <w:style w:type="paragraph" w:styleId="846">
    <w:name w:val="toc 7"/>
    <w:basedOn w:val="851"/>
    <w:next w:val="851"/>
    <w:uiPriority w:val="39"/>
    <w:unhideWhenUsed/>
    <w:pPr>
      <w:ind w:left="1701" w:right="0" w:firstLine="0"/>
      <w:spacing w:after="57"/>
    </w:pPr>
  </w:style>
  <w:style w:type="paragraph" w:styleId="847">
    <w:name w:val="toc 8"/>
    <w:basedOn w:val="851"/>
    <w:next w:val="851"/>
    <w:uiPriority w:val="39"/>
    <w:unhideWhenUsed/>
    <w:pPr>
      <w:ind w:left="1984" w:right="0" w:firstLine="0"/>
      <w:spacing w:after="57"/>
    </w:pPr>
  </w:style>
  <w:style w:type="paragraph" w:styleId="848">
    <w:name w:val="toc 9"/>
    <w:basedOn w:val="851"/>
    <w:next w:val="851"/>
    <w:uiPriority w:val="39"/>
    <w:unhideWhenUsed/>
    <w:pPr>
      <w:ind w:left="2268" w:right="0" w:firstLine="0"/>
      <w:spacing w:after="57"/>
    </w:pPr>
  </w:style>
  <w:style w:type="paragraph" w:styleId="849">
    <w:name w:val="TOC Heading"/>
    <w:uiPriority w:val="39"/>
    <w:unhideWhenUsed/>
  </w:style>
  <w:style w:type="paragraph" w:styleId="850">
    <w:name w:val="table of figures"/>
    <w:basedOn w:val="851"/>
    <w:next w:val="851"/>
    <w:uiPriority w:val="99"/>
    <w:unhideWhenUsed/>
    <w:pPr>
      <w:spacing w:after="0" w:afterAutospacing="0"/>
    </w:pPr>
  </w:style>
  <w:style w:type="paragraph" w:styleId="851" w:default="1">
    <w:name w:val="Normal"/>
    <w:qFormat/>
  </w:style>
  <w:style w:type="paragraph" w:styleId="852">
    <w:name w:val="Heading 1"/>
    <w:basedOn w:val="851"/>
    <w:next w:val="851"/>
    <w:link w:val="859"/>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character" w:styleId="853" w:default="1">
    <w:name w:val="Default Paragraph Font"/>
    <w:uiPriority w:val="1"/>
    <w:semiHidden/>
    <w:unhideWhenUsed/>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Balloon Text"/>
    <w:basedOn w:val="851"/>
    <w:link w:val="857"/>
    <w:uiPriority w:val="99"/>
    <w:semiHidden/>
    <w:unhideWhenUsed/>
    <w:pPr>
      <w:spacing w:after="0" w:line="240" w:lineRule="auto"/>
    </w:pPr>
    <w:rPr>
      <w:rFonts w:ascii="Segoe UI" w:hAnsi="Segoe UI" w:cs="Segoe UI"/>
      <w:sz w:val="18"/>
      <w:szCs w:val="18"/>
    </w:rPr>
  </w:style>
  <w:style w:type="character" w:styleId="857" w:customStyle="1">
    <w:name w:val="Текст выноски Знак"/>
    <w:basedOn w:val="853"/>
    <w:link w:val="856"/>
    <w:uiPriority w:val="99"/>
    <w:semiHidden/>
    <w:rPr>
      <w:rFonts w:ascii="Segoe UI" w:hAnsi="Segoe UI" w:cs="Segoe UI"/>
      <w:sz w:val="18"/>
      <w:szCs w:val="18"/>
    </w:rPr>
  </w:style>
  <w:style w:type="paragraph" w:styleId="858">
    <w:name w:val="No Spacing"/>
    <w:uiPriority w:val="1"/>
    <w:qFormat/>
    <w:pPr>
      <w:spacing w:after="0" w:line="240" w:lineRule="auto"/>
    </w:pPr>
  </w:style>
  <w:style w:type="character" w:styleId="859" w:customStyle="1">
    <w:name w:val="Заголовок 1 Знак"/>
    <w:basedOn w:val="853"/>
    <w:link w:val="852"/>
    <w:uiPriority w:val="9"/>
    <w:rPr>
      <w:rFonts w:asciiTheme="majorHAnsi" w:hAnsiTheme="majorHAnsi" w:eastAsiaTheme="majorEastAsia" w:cstheme="majorBidi"/>
      <w:color w:val="2e74b5" w:themeColor="accent1" w:themeShade="BF"/>
      <w:sz w:val="32"/>
      <w:szCs w:val="32"/>
    </w:rPr>
  </w:style>
  <w:style w:type="paragraph" w:styleId="860">
    <w:name w:val="List Paragraph"/>
    <w:basedOn w:val="851"/>
    <w:uiPriority w:val="34"/>
    <w:qFormat/>
    <w:pPr>
      <w:contextualSpacing/>
      <w:ind w:left="720"/>
      <w:spacing w:line="256" w:lineRule="auto"/>
    </w:pPr>
  </w:style>
  <w:style w:type="character" w:styleId="861">
    <w:name w:val="Hyperlink"/>
    <w:basedOn w:val="853"/>
    <w:uiPriority w:val="99"/>
    <w:unhideWhenUsed/>
    <w:rPr>
      <w:color w:val="0563c1" w:themeColor="hyperlink"/>
      <w:u w:val="single"/>
    </w:rPr>
  </w:style>
  <w:style w:type="character" w:styleId="862">
    <w:name w:val="annotation reference"/>
    <w:basedOn w:val="853"/>
    <w:uiPriority w:val="99"/>
    <w:semiHidden/>
    <w:unhideWhenUsed/>
    <w:rPr>
      <w:sz w:val="16"/>
      <w:szCs w:val="16"/>
    </w:rPr>
  </w:style>
  <w:style w:type="paragraph" w:styleId="863">
    <w:name w:val="annotation text"/>
    <w:basedOn w:val="851"/>
    <w:link w:val="864"/>
    <w:uiPriority w:val="99"/>
    <w:semiHidden/>
    <w:unhideWhenUsed/>
    <w:pPr>
      <w:spacing w:line="240" w:lineRule="auto"/>
    </w:pPr>
    <w:rPr>
      <w:sz w:val="20"/>
      <w:szCs w:val="20"/>
    </w:rPr>
  </w:style>
  <w:style w:type="character" w:styleId="864" w:customStyle="1">
    <w:name w:val="Текст примечания Знак"/>
    <w:basedOn w:val="853"/>
    <w:link w:val="863"/>
    <w:uiPriority w:val="99"/>
    <w:semiHidden/>
    <w:rPr>
      <w:sz w:val="20"/>
      <w:szCs w:val="20"/>
    </w:rPr>
  </w:style>
  <w:style w:type="paragraph" w:styleId="865">
    <w:name w:val="annotation subject"/>
    <w:basedOn w:val="863"/>
    <w:next w:val="863"/>
    <w:link w:val="866"/>
    <w:uiPriority w:val="99"/>
    <w:semiHidden/>
    <w:unhideWhenUsed/>
    <w:rPr>
      <w:b/>
      <w:bCs/>
    </w:rPr>
  </w:style>
  <w:style w:type="character" w:styleId="866" w:customStyle="1">
    <w:name w:val="Тема примечания Знак"/>
    <w:basedOn w:val="864"/>
    <w:link w:val="865"/>
    <w:uiPriority w:val="99"/>
    <w:semiHidden/>
    <w:rPr>
      <w:b/>
      <w:bCs/>
      <w:sz w:val="20"/>
      <w:szCs w:val="20"/>
    </w:rPr>
  </w:style>
  <w:style w:type="paragraph" w:styleId="867">
    <w:name w:val="toc 4"/>
    <w:basedOn w:val="851"/>
    <w:next w:val="851"/>
    <w:link w:val="868"/>
    <w:uiPriority w:val="39"/>
    <w:semiHidden/>
    <w:unhideWhenUsed/>
    <w:pPr>
      <w:ind w:left="660"/>
      <w:spacing w:after="100"/>
    </w:pPr>
  </w:style>
  <w:style w:type="character" w:styleId="868" w:customStyle="1">
    <w:name w:val="Оглавление 4 Знак"/>
    <w:link w:val="867"/>
    <w:uiPriority w:val="39"/>
    <w:semiHidden/>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revision>22</cp:revision>
  <dcterms:created xsi:type="dcterms:W3CDTF">2024-10-01T14:30:00Z</dcterms:created>
  <dcterms:modified xsi:type="dcterms:W3CDTF">2025-03-06T06:54:02Z</dcterms:modified>
</cp:coreProperties>
</file>