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05.03.2025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i/>
          <w:color w:val="3c4052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1c1b28"/>
          <w:spacing w:val="-9"/>
          <w:sz w:val="28"/>
          <w:szCs w:val="28"/>
          <w:highlight w:val="none"/>
        </w:rPr>
        <w:t xml:space="preserve">Новые правила освоения и использования земельных участк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ов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1 марта 2025 года вступил в силу Федеральный закон от 08.08.2024 № 307-ФЗ,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52628"/>
          <w:sz w:val="28"/>
          <w:szCs w:val="28"/>
          <w:highlight w:val="white"/>
        </w:rPr>
        <w:t xml:space="preserve">В первую очередь закон касается проблемных участков: заболоченных, захламленных или заросших сорняком территорий. Собственникам дается три года на проведение необходимых работ: очистку от мусора, осушение участка, выравнивание рельефа и удаление сорняков.</w:t>
      </w:r>
      <w:r>
        <w:rPr>
          <w:rFonts w:ascii="Tinos" w:hAnsi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Т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акже необходимо отметить, если гражданин не освоил земельный участок в срок, это автоматически не является основанием для его изъятия. Изъятию земельного участка предшествует проведение контрольных (надзорных) мероприятий. Пр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авообладатели участков, на которых будут выявлены признаки неиспользования, смогут устранить нарушения в установленном порядке.</w:t>
      </w:r>
      <w:r>
        <w:rPr>
          <w:rFonts w:ascii="Tinos" w:hAnsi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1e1e1e"/>
          <w:sz w:val="28"/>
          <w:szCs w:val="28"/>
          <w:highlight w:val="white"/>
        </w:rPr>
        <w:t xml:space="preserve">Заросшие, захламленные и загрязненные земельные участки являются серьезной проблемой для ведения хозяйства, для развития населенных пунктов, для создания и сохранения их надлежащего архитектурного облика. На такие участки жалуются соседи. </w:t>
      </w:r>
      <w:r>
        <w:rPr>
          <w:rFonts w:ascii="Tinos" w:hAnsi="Tinos" w:eastAsia="Tinos" w:cs="Tinos"/>
          <w:i/>
          <w:iCs/>
          <w:color w:val="1e1e1e"/>
          <w:sz w:val="28"/>
          <w:szCs w:val="28"/>
          <w:highlight w:val="white"/>
        </w:rPr>
        <w:t xml:space="preserve">Дачники не могут оперативно решить вопросы, связанные с деятельностью их объединений</w:t>
      </w:r>
      <w:r>
        <w:rPr>
          <w:rFonts w:ascii="Tinos" w:hAnsi="Tinos" w:eastAsia="Tinos" w:cs="Tinos"/>
          <w:color w:val="1e1e1e"/>
          <w:sz w:val="28"/>
          <w:szCs w:val="28"/>
          <w:highlight w:val="none"/>
        </w:rPr>
        <w:t xml:space="preserve">», – отметила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1e1e1e"/>
          <w:sz w:val="28"/>
          <w:szCs w:val="28"/>
          <w:highlight w:val="none"/>
        </w:rPr>
        <w:t xml:space="preserve">Марина Никифорова</w:t>
      </w:r>
      <w:r>
        <w:rPr>
          <w:rFonts w:ascii="Tinos" w:hAnsi="Tinos" w:eastAsia="Tinos" w:cs="Tinos"/>
          <w:color w:val="1e1e1e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color w:val="1e1e1e"/>
          <w:sz w:val="28"/>
          <w:szCs w:val="28"/>
          <w:highlight w:val="whit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1e1e1e"/>
          <w:sz w:val="28"/>
          <w:szCs w:val="28"/>
          <w:highlight w:val="white"/>
        </w:rPr>
        <w:t xml:space="preserve">Правообладатели земельных участков из</w:t>
      </w:r>
      <w:r>
        <w:rPr>
          <w:rFonts w:ascii="Tinos" w:hAnsi="Tinos" w:eastAsia="Tinos" w:cs="Tinos"/>
          <w:color w:val="1e1e1e"/>
          <w:sz w:val="28"/>
          <w:szCs w:val="28"/>
          <w:highlight w:val="white"/>
        </w:rPr>
        <w:t xml:space="preserve"> состава земель населенных пунктов, садовых и огородных земельных участков приступают к использованию этих земельных участков в соответствии с их целевым назначением и разрешенным использованием со дня приобретения прав на них, а в случае, если требуется о</w:t>
      </w:r>
      <w:r>
        <w:rPr>
          <w:rFonts w:ascii="Tinos" w:hAnsi="Tinos" w:eastAsia="Tinos" w:cs="Tinos"/>
          <w:color w:val="1e1e1e"/>
          <w:sz w:val="28"/>
          <w:szCs w:val="28"/>
          <w:highlight w:val="white"/>
        </w:rPr>
        <w:t xml:space="preserve">своение этих земельных участков, не позднее трех лет с указанной даты, за исключением случая, когда срок освоения установлен проектом рекультивации земель</w:t>
      </w:r>
      <w:r>
        <w:rPr>
          <w:rFonts w:ascii="Tinos" w:hAnsi="Tinos" w:eastAsia="Tinos" w:cs="Tinos"/>
          <w:color w:val="1e1e1e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1e1e1e"/>
          <w:sz w:val="28"/>
          <w:szCs w:val="28"/>
          <w:highlight w:val="white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color w:val="1e1e1e"/>
          <w:sz w:val="28"/>
          <w:szCs w:val="28"/>
          <w:highlight w:val="none"/>
        </w:rPr>
      </w:pPr>
      <w:r>
        <w:rPr>
          <w:rFonts w:ascii="Tinos" w:hAnsi="Tinos" w:eastAsia="Tinos" w:cs="Tinos"/>
          <w:color w:val="1e1e1e"/>
          <w:sz w:val="28"/>
          <w:szCs w:val="28"/>
          <w:highlight w:val="none"/>
        </w:rPr>
        <w:t xml:space="preserve">Кроме того необходимо отметить, что данные нормы применяются с            1 марта 2025 года. </w:t>
      </w:r>
      <w:r>
        <w:rPr>
          <w:rFonts w:ascii="Tinos" w:hAnsi="Tinos" w:eastAsia="Tinos" w:cs="Tinos"/>
          <w:color w:val="1e1e1e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1e1e1e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br/>
        <w:br/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23</cp:revision>
  <dcterms:created xsi:type="dcterms:W3CDTF">2024-10-01T14:30:00Z</dcterms:created>
  <dcterms:modified xsi:type="dcterms:W3CDTF">2025-03-05T10:38:44Z</dcterms:modified>
</cp:coreProperties>
</file>