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B9" w:rsidRDefault="00A46E46">
      <w:pPr>
        <w:pStyle w:val="afb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0" t="0" r="0" b="0"/>
            <wp:docPr id="1" name="_x005F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</w:t>
      </w:r>
    </w:p>
    <w:p w:rsidR="00B062B9" w:rsidRDefault="00B062B9">
      <w:pPr>
        <w:pStyle w:val="afb"/>
      </w:pPr>
    </w:p>
    <w:p w:rsidR="00B062B9" w:rsidRDefault="00A46E46">
      <w:pPr>
        <w:pStyle w:val="afb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11.03.2025</w:t>
      </w:r>
    </w:p>
    <w:p w:rsidR="00B062B9" w:rsidRDefault="00B062B9">
      <w:pPr>
        <w:spacing w:after="200" w:line="276" w:lineRule="auto"/>
        <w:ind w:left="360"/>
        <w:contextualSpacing/>
        <w:jc w:val="both"/>
        <w:rPr>
          <w:rFonts w:ascii="Tinos" w:hAnsi="Tinos" w:cs="Tinos"/>
          <w:b/>
          <w:bCs/>
          <w:sz w:val="28"/>
          <w:szCs w:val="28"/>
        </w:rPr>
      </w:pPr>
    </w:p>
    <w:p w:rsidR="00B062B9" w:rsidRDefault="00B062B9">
      <w:pPr>
        <w:spacing w:after="200" w:line="276" w:lineRule="auto"/>
        <w:ind w:left="360"/>
        <w:contextualSpacing/>
        <w:jc w:val="both"/>
        <w:rPr>
          <w:rFonts w:ascii="Tinos" w:hAnsi="Tinos" w:cs="Tinos"/>
          <w:color w:val="000000"/>
          <w:sz w:val="28"/>
          <w:szCs w:val="28"/>
        </w:rPr>
      </w:pPr>
    </w:p>
    <w:p w:rsidR="00B062B9" w:rsidRDefault="00A46E46">
      <w:pPr>
        <w:pStyle w:val="Heading1"/>
        <w:spacing w:before="75" w:after="225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/>
          <w:sz w:val="28"/>
          <w:szCs w:val="28"/>
        </w:rPr>
        <w:t>Росреестр Адыгеи продолжает вносить в Единый государственный реестр недвижимости сведения об объектах культурного наследия</w:t>
      </w:r>
    </w:p>
    <w:p w:rsidR="00B062B9" w:rsidRDefault="00A46E46">
      <w:pPr>
        <w:pStyle w:val="12"/>
        <w:spacing w:before="280" w:line="360" w:lineRule="auto"/>
        <w:ind w:left="28" w:right="420" w:firstLine="709"/>
        <w:jc w:val="both"/>
        <w:rPr>
          <w:rFonts w:ascii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highlight w:val="white"/>
        </w:rPr>
        <w:t>Для того чтобы объект культурного наследия надлежащим образом был защищен, его границы должны быть четко определены и внесены в Единый государственный реестр недвижимости (ЕГРН). </w:t>
      </w:r>
    </w:p>
    <w:p w:rsidR="00B062B9" w:rsidRDefault="00A46E46">
      <w:pPr>
        <w:pStyle w:val="12"/>
        <w:spacing w:before="280" w:line="360" w:lineRule="auto"/>
        <w:ind w:left="28" w:right="4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феврале 2025 года в Единый государственный реестр недвижимости  внесены сведения о</w:t>
      </w:r>
      <w:r>
        <w:t xml:space="preserve"> </w:t>
      </w:r>
      <w:r>
        <w:rPr>
          <w:sz w:val="28"/>
          <w:szCs w:val="28"/>
        </w:rPr>
        <w:t>границах территорий следующих объектов культурного наследия:</w:t>
      </w:r>
    </w:p>
    <w:p w:rsidR="00B062B9" w:rsidRDefault="00A46E46">
      <w:pPr>
        <w:pStyle w:val="12"/>
        <w:numPr>
          <w:ilvl w:val="0"/>
          <w:numId w:val="2"/>
        </w:numPr>
        <w:spacing w:before="280" w:line="360" w:lineRule="auto"/>
        <w:ind w:right="420"/>
        <w:jc w:val="both"/>
        <w:rPr>
          <w:rFonts w:ascii="Tinos" w:eastAsia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Гимназия (педучилище) 1900г;</w:t>
      </w:r>
    </w:p>
    <w:p w:rsidR="00D62351" w:rsidRPr="00D62351" w:rsidRDefault="00A46E46" w:rsidP="00D62351">
      <w:pPr>
        <w:pStyle w:val="12"/>
        <w:numPr>
          <w:ilvl w:val="0"/>
          <w:numId w:val="2"/>
        </w:numPr>
        <w:spacing w:line="360" w:lineRule="auto"/>
        <w:ind w:right="42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Дом жилой (государственное учреждение) 1910г;</w:t>
      </w:r>
    </w:p>
    <w:p w:rsidR="00D62351" w:rsidRPr="00D62351" w:rsidRDefault="00D62351" w:rsidP="00D62351">
      <w:pPr>
        <w:pStyle w:val="12"/>
        <w:numPr>
          <w:ilvl w:val="0"/>
          <w:numId w:val="2"/>
        </w:numPr>
        <w:spacing w:before="100" w:after="100" w:line="360" w:lineRule="auto"/>
        <w:ind w:right="42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Здание водолечебницы 1908г;</w:t>
      </w:r>
    </w:p>
    <w:p w:rsidR="00B062B9" w:rsidRPr="00D62351" w:rsidRDefault="00A46E46" w:rsidP="00D62351">
      <w:pPr>
        <w:pStyle w:val="12"/>
        <w:numPr>
          <w:ilvl w:val="0"/>
          <w:numId w:val="2"/>
        </w:numPr>
        <w:spacing w:line="360" w:lineRule="auto"/>
        <w:ind w:right="420"/>
        <w:jc w:val="both"/>
        <w:rPr>
          <w:rFonts w:ascii="Tinos" w:hAnsi="Tinos" w:cs="Tinos"/>
          <w:color w:val="000000" w:themeColor="text1"/>
          <w:sz w:val="28"/>
          <w:szCs w:val="28"/>
        </w:rPr>
      </w:pPr>
      <w:r w:rsidRPr="00D62351">
        <w:rPr>
          <w:rFonts w:ascii="Tinos" w:eastAsia="Tinos" w:hAnsi="Tinos" w:cs="Tinos"/>
          <w:color w:val="000000" w:themeColor="text1"/>
          <w:sz w:val="28"/>
          <w:szCs w:val="28"/>
        </w:rPr>
        <w:t>Дом жилой (научно-производственное объединение «Северный Кавказ») 1902г.</w:t>
      </w:r>
    </w:p>
    <w:p w:rsidR="00B062B9" w:rsidRDefault="00A46E46">
      <w:pPr>
        <w:spacing w:line="360" w:lineRule="auto"/>
        <w:ind w:firstLine="709"/>
        <w:jc w:val="both"/>
        <w:rPr>
          <w:rFonts w:ascii="Tinos" w:eastAsia="Tinos" w:hAnsi="Tinos" w:cs="Tinos"/>
          <w:bCs/>
          <w:i/>
          <w:color w:val="000000" w:themeColor="text1"/>
          <w:sz w:val="28"/>
          <w:szCs w:val="28"/>
        </w:rPr>
      </w:pPr>
      <w:r>
        <w:rPr>
          <w:rFonts w:ascii="Tinos" w:eastAsia="Tinos" w:hAnsi="Tinos" w:cs="Tinos"/>
          <w:i/>
          <w:iCs/>
          <w:color w:val="000000" w:themeColor="text1"/>
          <w:sz w:val="28"/>
          <w:szCs w:val="28"/>
        </w:rPr>
        <w:t xml:space="preserve">«Своевременное внесение сведений о таких объектах в Единый государственный реестр недвижимости  помогает предотвратить ошибки при планировании развития государственных территорий, разработке планов застройки. Наличие актуальных сведений о территориях объектов культурного наследия и их зонах охраны в Едином государственном реестре недвижимости поможет избежать градостроительных ошибок при предоставлении земельных участков органами местного самоуправления»,  </w:t>
      </w:r>
      <w:r>
        <w:rPr>
          <w:rFonts w:ascii="Tinos" w:eastAsia="Tinos" w:hAnsi="Tinos" w:cs="Tinos"/>
          <w:bCs/>
          <w:sz w:val="28"/>
          <w:szCs w:val="28"/>
        </w:rPr>
        <w:t>–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Cs/>
          <w:sz w:val="28"/>
          <w:szCs w:val="28"/>
        </w:rPr>
        <w:t>пояснила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руководитель Управления Росреестра по Республике Адыгея Марина Никифорова.</w:t>
      </w:r>
    </w:p>
    <w:p w:rsidR="00B062B9" w:rsidRDefault="00A46E46">
      <w:pPr>
        <w:pStyle w:val="12"/>
        <w:spacing w:before="280" w:after="280" w:line="360" w:lineRule="auto"/>
        <w:ind w:left="30" w:right="4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 законодательством. В территорию объекта культурного наследия могут входить земли, земельные участки, части земельных участков, земли лесного фонда, водные объекты или их части, находящиеся в государственной или муниципальной собственности либо в собственности физических или юридических лиц.</w:t>
      </w:r>
    </w:p>
    <w:p w:rsidR="00B062B9" w:rsidRDefault="00A46E46">
      <w:pPr>
        <w:pStyle w:val="12"/>
        <w:spacing w:beforeAutospacing="0" w:afterAutospacing="0" w:line="360" w:lineRule="auto"/>
        <w:ind w:right="4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1 марта в Едином государственном реестре недвижимости содержатся сведения </w:t>
      </w:r>
      <w:r>
        <w:rPr>
          <w:bCs/>
          <w:color w:val="000000" w:themeColor="text1"/>
          <w:sz w:val="28"/>
          <w:szCs w:val="28"/>
        </w:rPr>
        <w:t>о 178</w:t>
      </w:r>
      <w:r>
        <w:rPr>
          <w:bCs/>
          <w:sz w:val="28"/>
          <w:szCs w:val="28"/>
        </w:rPr>
        <w:t xml:space="preserve"> территориях объектов культурного наследия </w:t>
      </w:r>
      <w:r w:rsidRPr="00A46E46">
        <w:rPr>
          <w:bCs/>
          <w:sz w:val="28"/>
          <w:szCs w:val="28"/>
        </w:rPr>
        <w:t>регионального значения</w:t>
      </w:r>
      <w:r>
        <w:rPr>
          <w:bCs/>
          <w:sz w:val="28"/>
          <w:szCs w:val="28"/>
        </w:rPr>
        <w:t>, 178 объектах культурного насле</w:t>
      </w:r>
      <w:r w:rsidR="00D62351">
        <w:rPr>
          <w:bCs/>
          <w:sz w:val="28"/>
          <w:szCs w:val="28"/>
        </w:rPr>
        <w:t>дия, а также о 35 зонах охраны</w:t>
      </w:r>
      <w:r>
        <w:rPr>
          <w:bCs/>
          <w:sz w:val="28"/>
          <w:szCs w:val="28"/>
        </w:rPr>
        <w:t xml:space="preserve"> таких объектов.</w:t>
      </w:r>
    </w:p>
    <w:p w:rsidR="00B062B9" w:rsidRDefault="00A46E46">
      <w:pPr>
        <w:spacing w:line="360" w:lineRule="auto"/>
        <w:ind w:firstLine="709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i/>
          <w:iCs/>
          <w:color w:val="000000" w:themeColor="text1"/>
          <w:sz w:val="28"/>
          <w:szCs w:val="28"/>
        </w:rPr>
        <w:t>«</w:t>
      </w:r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 xml:space="preserve">Объекты культурного наследия являются предметом гордости, достоянием региона и страны в целом, помогают будущим поколениям изучать историю и культуру. Большое значение играют объекты культурного наследия в развитии туризма и связанных с ним бизнес </w:t>
      </w:r>
      <w:proofErr w:type="gramStart"/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>-п</w:t>
      </w:r>
      <w:proofErr w:type="gramEnd"/>
      <w:r>
        <w:rPr>
          <w:rFonts w:ascii="Tinos" w:eastAsia="Tinos" w:hAnsi="Tinos" w:cs="Tinos"/>
          <w:i/>
          <w:iCs/>
          <w:color w:val="000000" w:themeColor="text1"/>
          <w:sz w:val="28"/>
          <w:szCs w:val="28"/>
          <w:highlight w:val="white"/>
        </w:rPr>
        <w:t xml:space="preserve">роектов. Вот почему необходимо охранять такие объекты», - </w:t>
      </w:r>
      <w:r>
        <w:rPr>
          <w:rFonts w:ascii="Tinos" w:eastAsia="Tinos" w:hAnsi="Tinos" w:cs="Tinos"/>
          <w:bCs/>
          <w:sz w:val="28"/>
          <w:szCs w:val="28"/>
        </w:rPr>
        <w:t>отметил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директор филиала ППК «Роскадастр» по Республике Адыгея </w:t>
      </w:r>
      <w:proofErr w:type="spellStart"/>
      <w:r>
        <w:rPr>
          <w:rFonts w:ascii="Tinos" w:eastAsia="Tinos" w:hAnsi="Tinos" w:cs="Tinos"/>
          <w:b/>
          <w:bCs/>
          <w:sz w:val="28"/>
          <w:szCs w:val="28"/>
        </w:rPr>
        <w:t>Аюб</w:t>
      </w:r>
      <w:proofErr w:type="spellEnd"/>
      <w:r>
        <w:rPr>
          <w:rFonts w:ascii="Tinos" w:eastAsia="Tinos" w:hAnsi="Tinos" w:cs="Tinos"/>
          <w:b/>
          <w:bCs/>
          <w:sz w:val="28"/>
          <w:szCs w:val="28"/>
        </w:rPr>
        <w:t xml:space="preserve"> Хуако.</w:t>
      </w:r>
    </w:p>
    <w:p w:rsidR="00B062B9" w:rsidRDefault="00A46E46">
      <w:pPr>
        <w:pStyle w:val="12"/>
        <w:spacing w:beforeAutospacing="0" w:afterAutospacing="0" w:line="360" w:lineRule="auto"/>
        <w:ind w:left="28" w:right="420" w:firstLine="539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 xml:space="preserve">Оперативно проверить, входит ли конкретный земельный участок в зону охраны объекта культурного наследия можно с помощью общедоступного сервиса </w:t>
      </w:r>
      <w:hyperlink r:id="rId7" w:tgtFrame="https://nspd.gov.ru/map?thematic=PKK&amp;zoom=4.670431136549598&amp;coordinate_x=7393449.789034226&amp;coordinate_y=8161312.583529342&amp;theme_id=1&amp;is_copy_url=true">
        <w:r>
          <w:rPr>
            <w:rStyle w:val="af"/>
            <w:rFonts w:ascii="Tinos" w:eastAsia="Tinos" w:hAnsi="Tinos" w:cs="Tinos"/>
            <w:bCs/>
            <w:sz w:val="28"/>
            <w:szCs w:val="28"/>
          </w:rPr>
          <w:t>«Публичная кадастровая карта»</w:t>
        </w:r>
      </w:hyperlink>
      <w:r>
        <w:rPr>
          <w:rFonts w:ascii="Tinos" w:eastAsia="Tinos" w:hAnsi="Tinos" w:cs="Tinos"/>
          <w:bCs/>
          <w:sz w:val="28"/>
          <w:szCs w:val="28"/>
        </w:rPr>
        <w:t xml:space="preserve">. </w:t>
      </w:r>
    </w:p>
    <w:p w:rsidR="00B062B9" w:rsidRDefault="00A46E46">
      <w:pPr>
        <w:pStyle w:val="12"/>
        <w:spacing w:beforeAutospacing="0" w:afterAutospacing="0" w:line="360" w:lineRule="auto"/>
        <w:ind w:left="28" w:right="420" w:firstLine="539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>Также можно подать запрос о предоставлении сведений из ЕГРН любым удобным способом:</w:t>
      </w:r>
    </w:p>
    <w:p w:rsidR="00B062B9" w:rsidRDefault="00A46E46">
      <w:pPr>
        <w:pStyle w:val="12"/>
        <w:numPr>
          <w:ilvl w:val="0"/>
          <w:numId w:val="3"/>
        </w:numPr>
        <w:spacing w:beforeAutospacing="0" w:afterAutospacing="0" w:line="360" w:lineRule="auto"/>
        <w:ind w:left="567" w:right="420"/>
        <w:jc w:val="both"/>
        <w:rPr>
          <w:rFonts w:ascii="Tinos" w:hAnsi="Tinos" w:cs="Tinos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>обратится лично в офисы МФЦ;</w:t>
      </w:r>
    </w:p>
    <w:p w:rsidR="00B062B9" w:rsidRDefault="00A46E46">
      <w:pPr>
        <w:pStyle w:val="12"/>
        <w:numPr>
          <w:ilvl w:val="0"/>
          <w:numId w:val="3"/>
        </w:numPr>
        <w:spacing w:beforeAutospacing="0" w:afterAutospacing="0" w:line="360" w:lineRule="auto"/>
        <w:ind w:left="567" w:right="420"/>
        <w:jc w:val="both"/>
        <w:rPr>
          <w:rFonts w:ascii="Tinos" w:hAnsi="Tinos" w:cs="Tinos"/>
          <w:color w:val="334059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в электронном виде </w:t>
      </w:r>
      <w:r>
        <w:rPr>
          <w:rFonts w:ascii="Tinos" w:eastAsia="Tinos" w:hAnsi="Tinos" w:cs="Tinos"/>
          <w:color w:val="292C2F"/>
          <w:sz w:val="28"/>
          <w:szCs w:val="28"/>
        </w:rPr>
        <w:t xml:space="preserve">через портал </w:t>
      </w:r>
      <w:proofErr w:type="spellStart"/>
      <w:r>
        <w:rPr>
          <w:rFonts w:ascii="Tinos" w:eastAsia="Tinos" w:hAnsi="Tinos" w:cs="Tinos"/>
          <w:color w:val="292C2F"/>
          <w:sz w:val="28"/>
          <w:szCs w:val="28"/>
        </w:rPr>
        <w:t>Госуслуг</w:t>
      </w:r>
      <w:proofErr w:type="spellEnd"/>
      <w:r>
        <w:rPr>
          <w:rFonts w:ascii="Tinos" w:eastAsia="Tinos" w:hAnsi="Tinos" w:cs="Tinos"/>
          <w:color w:val="334059"/>
          <w:sz w:val="28"/>
          <w:szCs w:val="28"/>
          <w:shd w:val="clear" w:color="auto" w:fill="FFFFFF"/>
        </w:rPr>
        <w:t>;</w:t>
      </w:r>
    </w:p>
    <w:p w:rsidR="00B062B9" w:rsidRDefault="00A46E46">
      <w:pPr>
        <w:pStyle w:val="12"/>
        <w:numPr>
          <w:ilvl w:val="0"/>
          <w:numId w:val="3"/>
        </w:numPr>
        <w:spacing w:beforeAutospacing="0" w:afterAutospacing="0" w:line="360" w:lineRule="auto"/>
        <w:ind w:left="567" w:right="420"/>
        <w:jc w:val="both"/>
        <w:rPr>
          <w:rFonts w:ascii="Tinos" w:hAnsi="Tinos" w:cs="Tinos"/>
          <w:color w:val="334059"/>
          <w:sz w:val="28"/>
          <w:szCs w:val="28"/>
          <w:shd w:val="clear" w:color="auto" w:fill="FFFFFF"/>
        </w:rPr>
      </w:pPr>
      <w:r>
        <w:rPr>
          <w:rFonts w:ascii="Tinos" w:eastAsia="Tinos" w:hAnsi="Tinos" w:cs="Tinos"/>
          <w:sz w:val="28"/>
          <w:szCs w:val="28"/>
          <w:shd w:val="clear" w:color="auto" w:fill="FFFFFF"/>
        </w:rPr>
        <w:t xml:space="preserve">воспользоваться </w:t>
      </w:r>
      <w:hyperlink r:id="rId8" w:tgtFrame="https://kadastr.ru/services/vyezdnoe-obsluzhivanie/">
        <w:r>
          <w:rPr>
            <w:rStyle w:val="af"/>
            <w:rFonts w:ascii="Tinos" w:eastAsia="Tinos" w:hAnsi="Tinos" w:cs="Tinos"/>
            <w:sz w:val="28"/>
            <w:szCs w:val="28"/>
            <w:shd w:val="clear" w:color="auto" w:fill="FFFFFF"/>
          </w:rPr>
          <w:t>выездным обслуживанием</w:t>
        </w:r>
      </w:hyperlink>
      <w:r>
        <w:rPr>
          <w:rFonts w:ascii="Tinos" w:eastAsia="Tinos" w:hAnsi="Tinos" w:cs="Tinos"/>
          <w:color w:val="334059"/>
          <w:sz w:val="28"/>
          <w:szCs w:val="28"/>
          <w:shd w:val="clear" w:color="auto" w:fill="FFFFFF"/>
        </w:rPr>
        <w:t xml:space="preserve"> </w:t>
      </w:r>
      <w:r>
        <w:rPr>
          <w:rFonts w:ascii="Tinos" w:eastAsia="Tinos" w:hAnsi="Tinos" w:cs="Tinos"/>
          <w:sz w:val="28"/>
          <w:szCs w:val="28"/>
          <w:shd w:val="clear" w:color="auto" w:fill="FFFFFF"/>
        </w:rPr>
        <w:t>Роскадастра.</w:t>
      </w:r>
    </w:p>
    <w:p w:rsidR="00B062B9" w:rsidRDefault="00B062B9">
      <w:pPr>
        <w:spacing w:after="0"/>
      </w:pPr>
    </w:p>
    <w:p w:rsidR="00B062B9" w:rsidRDefault="00B062B9">
      <w:pPr>
        <w:spacing w:after="0"/>
      </w:pPr>
    </w:p>
    <w:p w:rsidR="00B062B9" w:rsidRDefault="00B062B9">
      <w:pPr>
        <w:spacing w:line="360" w:lineRule="auto"/>
        <w:ind w:firstLine="709"/>
        <w:jc w:val="both"/>
        <w:rPr>
          <w:rFonts w:ascii="Roboto" w:eastAsia="Roboto" w:hAnsi="Roboto" w:cs="Roboto"/>
          <w:color w:val="292C2F"/>
          <w:sz w:val="24"/>
          <w:szCs w:val="24"/>
        </w:rPr>
      </w:pPr>
    </w:p>
    <w:p w:rsidR="00B062B9" w:rsidRDefault="00B062B9">
      <w:pPr>
        <w:spacing w:line="360" w:lineRule="auto"/>
        <w:ind w:firstLine="709"/>
        <w:jc w:val="both"/>
        <w:rPr>
          <w:rFonts w:ascii="Roboto" w:eastAsia="Roboto" w:hAnsi="Roboto" w:cs="Roboto"/>
          <w:color w:val="292C2F"/>
          <w:sz w:val="24"/>
          <w:szCs w:val="24"/>
        </w:rPr>
      </w:pPr>
    </w:p>
    <w:p w:rsidR="00B062B9" w:rsidRDefault="00A46E46">
      <w:pPr>
        <w:spacing w:beforeAutospacing="1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B062B9" w:rsidRDefault="00A46E46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B062B9" w:rsidRDefault="00A46E46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B062B9" w:rsidRDefault="00A46E46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B062B9" w:rsidRDefault="00A46E46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  <w:proofErr w:type="spellEnd"/>
    </w:p>
    <w:p w:rsidR="00B062B9" w:rsidRDefault="00A46E46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B062B9" w:rsidSect="00B062B9">
      <w:pgSz w:w="11906" w:h="16838"/>
      <w:pgMar w:top="907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Roboto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3E54"/>
    <w:multiLevelType w:val="multilevel"/>
    <w:tmpl w:val="99DC16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8646B7"/>
    <w:multiLevelType w:val="multilevel"/>
    <w:tmpl w:val="BDDE8236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8F749D"/>
    <w:multiLevelType w:val="multilevel"/>
    <w:tmpl w:val="1E04FA0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6481029E"/>
    <w:multiLevelType w:val="multilevel"/>
    <w:tmpl w:val="4044E80C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062B9"/>
    <w:rsid w:val="00A46E46"/>
    <w:rsid w:val="00B062B9"/>
    <w:rsid w:val="00D6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06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62B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62B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62B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62B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62B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62B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62B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62B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B062B9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B062B9"/>
    <w:rPr>
      <w:sz w:val="24"/>
      <w:szCs w:val="24"/>
    </w:rPr>
  </w:style>
  <w:style w:type="character" w:customStyle="1" w:styleId="QuoteChar">
    <w:name w:val="Quote Char"/>
    <w:link w:val="2"/>
    <w:uiPriority w:val="29"/>
    <w:qFormat/>
    <w:rsid w:val="00B062B9"/>
    <w:rPr>
      <w:i/>
    </w:rPr>
  </w:style>
  <w:style w:type="character" w:customStyle="1" w:styleId="IntenseQuoteChar">
    <w:name w:val="Intense Quote Char"/>
    <w:link w:val="a3"/>
    <w:uiPriority w:val="30"/>
    <w:qFormat/>
    <w:rsid w:val="00B062B9"/>
    <w:rPr>
      <w:i/>
    </w:rPr>
  </w:style>
  <w:style w:type="character" w:customStyle="1" w:styleId="FootnoteTextChar">
    <w:name w:val="Footnote Text Char"/>
    <w:uiPriority w:val="99"/>
    <w:qFormat/>
    <w:rsid w:val="00B062B9"/>
    <w:rPr>
      <w:sz w:val="18"/>
    </w:rPr>
  </w:style>
  <w:style w:type="character" w:customStyle="1" w:styleId="EndnoteTextChar">
    <w:name w:val="Endnote Text Char"/>
    <w:uiPriority w:val="99"/>
    <w:qFormat/>
    <w:rsid w:val="00B062B9"/>
    <w:rPr>
      <w:sz w:val="20"/>
    </w:rPr>
  </w:style>
  <w:style w:type="character" w:customStyle="1" w:styleId="Heading1Char">
    <w:name w:val="Heading 1 Char"/>
    <w:basedOn w:val="a0"/>
    <w:uiPriority w:val="9"/>
    <w:qFormat/>
    <w:rsid w:val="00B062B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B062B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B062B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B062B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B062B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B062B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B062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B062B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B062B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5"/>
    <w:uiPriority w:val="10"/>
    <w:qFormat/>
    <w:rsid w:val="00B062B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qFormat/>
    <w:rsid w:val="00B062B9"/>
    <w:rPr>
      <w:sz w:val="24"/>
      <w:szCs w:val="24"/>
    </w:rPr>
  </w:style>
  <w:style w:type="character" w:customStyle="1" w:styleId="20">
    <w:name w:val="Цитата 2 Знак"/>
    <w:link w:val="2"/>
    <w:uiPriority w:val="29"/>
    <w:qFormat/>
    <w:rsid w:val="00B062B9"/>
    <w:rPr>
      <w:i/>
    </w:rPr>
  </w:style>
  <w:style w:type="character" w:customStyle="1" w:styleId="a8">
    <w:name w:val="Выделенная цитата Знак"/>
    <w:link w:val="a3"/>
    <w:uiPriority w:val="30"/>
    <w:qFormat/>
    <w:rsid w:val="00B062B9"/>
    <w:rPr>
      <w:i/>
    </w:rPr>
  </w:style>
  <w:style w:type="character" w:customStyle="1" w:styleId="HeaderChar">
    <w:name w:val="Header Char"/>
    <w:basedOn w:val="a0"/>
    <w:link w:val="Header"/>
    <w:uiPriority w:val="99"/>
    <w:qFormat/>
    <w:rsid w:val="00B062B9"/>
  </w:style>
  <w:style w:type="character" w:customStyle="1" w:styleId="FooterChar">
    <w:name w:val="Footer Char"/>
    <w:basedOn w:val="a0"/>
    <w:uiPriority w:val="99"/>
    <w:qFormat/>
    <w:rsid w:val="00B062B9"/>
  </w:style>
  <w:style w:type="character" w:customStyle="1" w:styleId="CaptionChar">
    <w:name w:val="Caption Char"/>
    <w:link w:val="Footer"/>
    <w:uiPriority w:val="99"/>
    <w:qFormat/>
    <w:rsid w:val="00B062B9"/>
  </w:style>
  <w:style w:type="character" w:customStyle="1" w:styleId="a9">
    <w:name w:val="Текст сноски Знак"/>
    <w:link w:val="FootnoteText"/>
    <w:uiPriority w:val="99"/>
    <w:qFormat/>
    <w:rsid w:val="00B062B9"/>
    <w:rPr>
      <w:sz w:val="18"/>
    </w:rPr>
  </w:style>
  <w:style w:type="character" w:customStyle="1" w:styleId="aa">
    <w:name w:val="Символ сноски"/>
    <w:basedOn w:val="a0"/>
    <w:uiPriority w:val="99"/>
    <w:unhideWhenUsed/>
    <w:qFormat/>
    <w:rsid w:val="00B062B9"/>
    <w:rPr>
      <w:vertAlign w:val="superscript"/>
    </w:rPr>
  </w:style>
  <w:style w:type="character" w:customStyle="1" w:styleId="FootnoteReference">
    <w:name w:val="Footnote Reference"/>
    <w:rsid w:val="00B062B9"/>
    <w:rPr>
      <w:vertAlign w:val="superscript"/>
    </w:rPr>
  </w:style>
  <w:style w:type="character" w:customStyle="1" w:styleId="ab">
    <w:name w:val="Текст концевой сноски Знак"/>
    <w:link w:val="EndnoteText"/>
    <w:uiPriority w:val="99"/>
    <w:qFormat/>
    <w:rsid w:val="00B062B9"/>
    <w:rPr>
      <w:sz w:val="20"/>
    </w:rPr>
  </w:style>
  <w:style w:type="character" w:customStyle="1" w:styleId="ac">
    <w:name w:val="Символ концевой сноски"/>
    <w:basedOn w:val="a0"/>
    <w:uiPriority w:val="99"/>
    <w:semiHidden/>
    <w:unhideWhenUsed/>
    <w:qFormat/>
    <w:rsid w:val="00B062B9"/>
    <w:rPr>
      <w:vertAlign w:val="superscript"/>
    </w:rPr>
  </w:style>
  <w:style w:type="character" w:customStyle="1" w:styleId="EndnoteReference">
    <w:name w:val="Endnote Reference"/>
    <w:rsid w:val="00B062B9"/>
    <w:rPr>
      <w:vertAlign w:val="superscript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B062B9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a0"/>
    <w:link w:val="Heading1"/>
    <w:uiPriority w:val="9"/>
    <w:qFormat/>
    <w:rsid w:val="00B06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Hyperlink"/>
    <w:basedOn w:val="a0"/>
    <w:uiPriority w:val="99"/>
    <w:unhideWhenUsed/>
    <w:rsid w:val="00B062B9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sid w:val="00B062B9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semiHidden/>
    <w:qFormat/>
    <w:rsid w:val="00B062B9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qFormat/>
    <w:rsid w:val="00B062B9"/>
    <w:rPr>
      <w:b/>
      <w:bCs/>
      <w:sz w:val="20"/>
      <w:szCs w:val="20"/>
    </w:rPr>
  </w:style>
  <w:style w:type="character" w:customStyle="1" w:styleId="4">
    <w:name w:val="Оглавление 4 Знак"/>
    <w:link w:val="TOC4"/>
    <w:uiPriority w:val="39"/>
    <w:semiHidden/>
    <w:qFormat/>
    <w:rsid w:val="00B062B9"/>
  </w:style>
  <w:style w:type="character" w:customStyle="1" w:styleId="10">
    <w:name w:val="Строгий1"/>
    <w:uiPriority w:val="22"/>
    <w:qFormat/>
    <w:rsid w:val="00B062B9"/>
    <w:rPr>
      <w:b/>
      <w:bCs/>
    </w:rPr>
  </w:style>
  <w:style w:type="character" w:customStyle="1" w:styleId="11">
    <w:name w:val="Выделение1"/>
    <w:uiPriority w:val="20"/>
    <w:qFormat/>
    <w:rsid w:val="00B062B9"/>
    <w:rPr>
      <w:i/>
      <w:iCs/>
    </w:rPr>
  </w:style>
  <w:style w:type="character" w:customStyle="1" w:styleId="LineNumber">
    <w:name w:val="Line Number"/>
    <w:rsid w:val="00B062B9"/>
  </w:style>
  <w:style w:type="paragraph" w:customStyle="1" w:styleId="af5">
    <w:name w:val="Заголовок"/>
    <w:basedOn w:val="a"/>
    <w:next w:val="af6"/>
    <w:qFormat/>
    <w:rsid w:val="00B062B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rsid w:val="00B062B9"/>
    <w:pPr>
      <w:spacing w:after="140" w:line="276" w:lineRule="auto"/>
    </w:pPr>
  </w:style>
  <w:style w:type="paragraph" w:styleId="af7">
    <w:name w:val="List"/>
    <w:basedOn w:val="af6"/>
    <w:rsid w:val="00B062B9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62B9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8">
    <w:name w:val="index heading"/>
    <w:basedOn w:val="a"/>
    <w:qFormat/>
    <w:rsid w:val="00B062B9"/>
    <w:pPr>
      <w:suppressLineNumbers/>
    </w:pPr>
    <w:rPr>
      <w:rFonts w:ascii="PT Astra Serif" w:hAnsi="PT Astra Serif" w:cs="Noto Sans Devanagari"/>
    </w:rPr>
  </w:style>
  <w:style w:type="paragraph" w:styleId="a5">
    <w:name w:val="Title"/>
    <w:basedOn w:val="a"/>
    <w:next w:val="a"/>
    <w:link w:val="a4"/>
    <w:uiPriority w:val="10"/>
    <w:qFormat/>
    <w:rsid w:val="00B062B9"/>
    <w:pPr>
      <w:spacing w:before="300" w:after="200"/>
      <w:contextualSpacing/>
    </w:pPr>
    <w:rPr>
      <w:sz w:val="48"/>
      <w:szCs w:val="48"/>
    </w:rPr>
  </w:style>
  <w:style w:type="paragraph" w:styleId="a7">
    <w:name w:val="Subtitle"/>
    <w:basedOn w:val="a"/>
    <w:next w:val="a"/>
    <w:link w:val="a6"/>
    <w:uiPriority w:val="11"/>
    <w:qFormat/>
    <w:rsid w:val="00B062B9"/>
    <w:pPr>
      <w:spacing w:before="200" w:after="200"/>
    </w:pPr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62B9"/>
    <w:pPr>
      <w:ind w:left="720" w:right="720"/>
    </w:pPr>
    <w:rPr>
      <w:i/>
    </w:rPr>
  </w:style>
  <w:style w:type="paragraph" w:styleId="a3">
    <w:name w:val="Intense Quote"/>
    <w:basedOn w:val="a"/>
    <w:next w:val="a"/>
    <w:link w:val="a8"/>
    <w:uiPriority w:val="30"/>
    <w:qFormat/>
    <w:rsid w:val="00B062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  <w:rsid w:val="00B062B9"/>
  </w:style>
  <w:style w:type="paragraph" w:customStyle="1" w:styleId="Header">
    <w:name w:val="Header"/>
    <w:basedOn w:val="a"/>
    <w:link w:val="HeaderChar"/>
    <w:uiPriority w:val="99"/>
    <w:unhideWhenUsed/>
    <w:rsid w:val="00B062B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B062B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link w:val="a9"/>
    <w:uiPriority w:val="99"/>
    <w:semiHidden/>
    <w:unhideWhenUsed/>
    <w:rsid w:val="00B062B9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link w:val="ab"/>
    <w:uiPriority w:val="99"/>
    <w:semiHidden/>
    <w:unhideWhenUsed/>
    <w:rsid w:val="00B062B9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B062B9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B062B9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B062B9"/>
    <w:pPr>
      <w:spacing w:after="57"/>
      <w:ind w:left="567"/>
    </w:pPr>
  </w:style>
  <w:style w:type="paragraph" w:customStyle="1" w:styleId="TOC5">
    <w:name w:val="TOC 5"/>
    <w:basedOn w:val="a"/>
    <w:next w:val="a"/>
    <w:uiPriority w:val="39"/>
    <w:unhideWhenUsed/>
    <w:rsid w:val="00B062B9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B062B9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B062B9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B062B9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B062B9"/>
    <w:pPr>
      <w:spacing w:after="57"/>
      <w:ind w:left="2268"/>
    </w:pPr>
  </w:style>
  <w:style w:type="paragraph" w:customStyle="1" w:styleId="IndexHeading">
    <w:name w:val="Index Heading"/>
    <w:basedOn w:val="af5"/>
    <w:rsid w:val="00B062B9"/>
  </w:style>
  <w:style w:type="paragraph" w:styleId="afa">
    <w:name w:val="TOC Heading"/>
    <w:uiPriority w:val="39"/>
    <w:unhideWhenUsed/>
    <w:qFormat/>
    <w:rsid w:val="00B062B9"/>
    <w:pPr>
      <w:spacing w:after="160" w:line="259" w:lineRule="auto"/>
    </w:pPr>
  </w:style>
  <w:style w:type="paragraph" w:customStyle="1" w:styleId="TableofFigures">
    <w:name w:val="Table of Figures"/>
    <w:basedOn w:val="a"/>
    <w:next w:val="a"/>
    <w:uiPriority w:val="99"/>
    <w:unhideWhenUsed/>
    <w:rsid w:val="00B062B9"/>
    <w:pPr>
      <w:spacing w:after="0"/>
    </w:pPr>
  </w:style>
  <w:style w:type="paragraph" w:styleId="ae">
    <w:name w:val="Balloon Text"/>
    <w:basedOn w:val="a"/>
    <w:link w:val="ad"/>
    <w:uiPriority w:val="99"/>
    <w:semiHidden/>
    <w:unhideWhenUsed/>
    <w:qFormat/>
    <w:rsid w:val="00B062B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b">
    <w:name w:val="No Spacing"/>
    <w:uiPriority w:val="1"/>
    <w:qFormat/>
    <w:rsid w:val="00B062B9"/>
  </w:style>
  <w:style w:type="paragraph" w:styleId="afc">
    <w:name w:val="List Paragraph"/>
    <w:basedOn w:val="a"/>
    <w:uiPriority w:val="34"/>
    <w:qFormat/>
    <w:rsid w:val="00B062B9"/>
    <w:pPr>
      <w:spacing w:line="254" w:lineRule="auto"/>
      <w:ind w:left="720"/>
      <w:contextualSpacing/>
    </w:pPr>
  </w:style>
  <w:style w:type="paragraph" w:styleId="af2">
    <w:name w:val="annotation text"/>
    <w:basedOn w:val="a"/>
    <w:link w:val="af1"/>
    <w:uiPriority w:val="99"/>
    <w:semiHidden/>
    <w:unhideWhenUsed/>
    <w:qFormat/>
    <w:rsid w:val="00B062B9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qFormat/>
    <w:rsid w:val="00B062B9"/>
    <w:rPr>
      <w:b/>
      <w:bCs/>
    </w:rPr>
  </w:style>
  <w:style w:type="paragraph" w:customStyle="1" w:styleId="TOC4">
    <w:name w:val="TOC 4"/>
    <w:basedOn w:val="a"/>
    <w:next w:val="a"/>
    <w:link w:val="4"/>
    <w:uiPriority w:val="39"/>
    <w:semiHidden/>
    <w:unhideWhenUsed/>
    <w:rsid w:val="00B062B9"/>
    <w:pPr>
      <w:spacing w:after="100"/>
      <w:ind w:left="660"/>
    </w:pPr>
  </w:style>
  <w:style w:type="paragraph" w:customStyle="1" w:styleId="afd">
    <w:name w:val="Прижатый влево"/>
    <w:uiPriority w:val="99"/>
    <w:qFormat/>
    <w:rsid w:val="00B062B9"/>
    <w:pPr>
      <w:shd w:val="nil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2">
    <w:name w:val="Обычный (веб)1"/>
    <w:uiPriority w:val="99"/>
    <w:unhideWhenUsed/>
    <w:qFormat/>
    <w:rsid w:val="00B062B9"/>
    <w:pPr>
      <w:shd w:val="nil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e">
    <w:name w:val="Table Grid"/>
    <w:basedOn w:val="a1"/>
    <w:uiPriority w:val="59"/>
    <w:rsid w:val="00B062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62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62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062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62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62B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62B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62B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62B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62B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62B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62B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62B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62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62B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62B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62B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62B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62B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62B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62B9"/>
    <w:rPr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B062B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d.gov.ru/map?thematic=PKK&amp;zoom=4.670431136549598&amp;coordinate_x=7393449.789034226&amp;coordinate_y=8161312.583529342&amp;theme_id=1&amp;is_copy_url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426C4-6590-4ED8-A75D-7D599BFE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dc:description/>
  <cp:lastModifiedBy>lyafisheva</cp:lastModifiedBy>
  <cp:revision>30</cp:revision>
  <dcterms:created xsi:type="dcterms:W3CDTF">2024-10-01T14:30:00Z</dcterms:created>
  <dcterms:modified xsi:type="dcterms:W3CDTF">2025-03-12T08:42:00Z</dcterms:modified>
  <dc:language>ru-RU</dc:language>
</cp:coreProperties>
</file>