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i/>
          <w:color w:val="3c4052"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1008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900 </w:t>
      </w: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объектов оформили жители Адыгеи с начала «гаражной амнистии»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spacing w:before="240" w:after="0" w:line="384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 время действия «гаражной амнистии» (сентябрь 2021 года) в регионе оформлено в упрощенном порядке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900 объектов недвижимости.  Из них 572 объекта гаражного назначения и 328 земельных участков общей площадью площадью более 9 тысяч кв.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м.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mes New Roman" w:hAnsi="Times New Roman"/>
          <w:sz w:val="27"/>
          <w:szCs w:val="27"/>
        </w:rPr>
        <w:t xml:space="preserve">«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Управлением Росреестра по Республике Адыгея ведется активная разъяснительная работа среди населения республики путем проведения консультационных мероприятий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,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а также информирования граждан с привлечением СМИ.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 Специалисты Управления оказывают максимальное содействие в решении возникающих вопросов как гражданам, которые желают узаконить свои права на недвижимость, так и органам власти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, чтобы их действия были скоординированы и направлены на успешное воплощение в жизнь закона о гаражной амнистии на территории нашего региона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», </w:t>
      </w:r>
      <w:r>
        <w:rPr>
          <w:rFonts w:ascii="Tinos" w:hAnsi="Tinos" w:eastAsia="Tinos" w:cs="Tinos"/>
          <w:sz w:val="28"/>
          <w:szCs w:val="28"/>
        </w:rPr>
        <w:t xml:space="preserve">– отметила руководитель Управления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Марина Никифорова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both"/>
        <w:spacing w:before="0" w:after="0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 учетом востребованности закона гражданами Росреестр анализирует и совершенствует правоприменительную практику в данной сфере. Так, 9 ноября 2024 г. вступил в силу </w:t>
      </w:r>
      <w:hyperlink r:id="rId10" w:tooltip="http://publication.pravo.gov.ru/document/0001202410290023?ysclid=m368bhuhu1479521419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none"/>
          </w:rPr>
          <w:t xml:space="preserve">Федеральный закон № 370-ФЗ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, уточняющий положения о порядке признания отдельными зданиями гаражей различной этажности. Если ранее упрощенный порядок регистрации распространялся только на одноэтажные гаражи и землю под ними, то теперь это право получили и владельцы двухэтажных гараже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й. Процедура оформления для них не поменяется.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октябре 2023 года вступили в силу поправки, направленные на упрощение процедуры оформления земли под гаражами (ФЗ от 24.07.2023 № </w:t>
      </w:r>
      <w:hyperlink r:id="rId11" w:tooltip="http://publication.pravo.gov.ru/document/0001202307240020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none"/>
          </w:rPr>
          <w:t xml:space="preserve">338-ФЗ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). Например, в советское время много мест под гаражи было предоставлено в полосах отвода железных дорог. Теперь предусмотрен механизм оформления прав на такие объекты. Также при наличии межевого плана на территорию у людей появилась возможность не тратить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деньги на привлечение кадастровых инженеров и оформлять участки под гаражами в упрощенном порядке, минимизировав затраты.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январе 2025 года Государственной Думой принят в первом чтении </w:t>
      </w:r>
      <w:hyperlink r:id="rId12" w:tooltip="https://rosreestr.gov.ru/press/archive/gosduma-prinyala-v-i-chtenii-zakonoproekt-rosreestra-o-podzemnykh-garazhakh/?ysclid=m6otqvh92v145690005" w:history="1">
        <w:r>
          <w:rPr>
            <w:rStyle w:val="861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законопроект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, направленный на защиту прав собственников подземных гаражей. Вводятся такие понятия, как «наземные гаражи», «подземные гаражи» и «подземные гаражные комплексы». Предусмотрена норма, по которой владельцы таких объектов смогут использовать земельный участо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к над гаражом для его ремонта. Это можно будет сделать в упрощенном режиме – на основании разрешения местной администрации. Кроме того, владельцы подземных гаражей, у которых есть надземные конструкции (например, стойки в виде труб, крыша и т.д.), смогут 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формить в собственность земельный участок над таким объектом. Это позволит владельцам полноценно распоряжаться своим имуществом.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0"/>
        <w:jc w:val="both"/>
        <w:spacing w:line="360" w:lineRule="auto"/>
        <w:rPr>
          <w:rFonts w:ascii="Tinos" w:hAnsi="Tinos" w:cs="Tinos"/>
          <w:color w:val="auto"/>
          <w:spacing w:val="1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pacing w:val="1"/>
          <w:sz w:val="28"/>
          <w:szCs w:val="28"/>
          <w:highlight w:val="none"/>
        </w:rPr>
      </w:r>
      <w:r>
        <w:rPr>
          <w:rFonts w:ascii="Tinos" w:hAnsi="Tinos" w:cs="Tinos"/>
          <w:color w:val="auto"/>
          <w:spacing w:val="1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publication.pravo.gov.ru/document/0001202410290023?ysclid=m368bhuhu1479521419" TargetMode="External"/><Relationship Id="rId11" Type="http://schemas.openxmlformats.org/officeDocument/2006/relationships/hyperlink" Target="http://publication.pravo.gov.ru/document/0001202307240020" TargetMode="External"/><Relationship Id="rId12" Type="http://schemas.openxmlformats.org/officeDocument/2006/relationships/hyperlink" Target="https://rosreestr.gov.ru/press/archive/gosduma-prinyala-v-i-chtenii-zakonoproekt-rosreestra-o-podzemnykh-garazhakh/?ysclid=m6otqvh92v1456900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30</cp:revision>
  <dcterms:created xsi:type="dcterms:W3CDTF">2024-10-01T14:30:00Z</dcterms:created>
  <dcterms:modified xsi:type="dcterms:W3CDTF">2025-03-11T14:12:50Z</dcterms:modified>
</cp:coreProperties>
</file>