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-280034</wp:posOffset>
                </wp:positionH>
                <wp:positionV relativeFrom="paragraph">
                  <wp:posOffset>-434340</wp:posOffset>
                </wp:positionV>
                <wp:extent cx="957580" cy="942975"/>
                <wp:effectExtent l="0" t="0" r="0" b="9525"/>
                <wp:wrapNone/>
                <wp:docPr id="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7580" cy="9429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/>
                        </a:blip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margin;margin-left:-22.05pt;mso-position-horizontal:absolute;mso-position-vertical-relative:text;margin-top:-34.20pt;mso-position-vertical:absolute;width:75.40pt;height:74.25pt;mso-wrap-distance-left:9.00pt;mso-wrap-distance-top:0.00pt;mso-wrap-distance-right:9.00pt;mso-wrap-distance-bottom:0.00pt;visibility:visible;">
                <v:fill r:id="rId9" o:title="" type="frame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-10160</wp:posOffset>
                </wp:positionV>
                <wp:extent cx="1158898" cy="489250"/>
                <wp:effectExtent l="0" t="0" r="3175" b="6350"/>
                <wp:wrapNone/>
                <wp:docPr id="2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8897" cy="48925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/>
                        </a:blip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1312;o:allowoverlap:true;o:allowincell:true;mso-position-horizontal-relative:text;margin-left:63.00pt;mso-position-horizontal:absolute;mso-position-vertical-relative:text;margin-top:-0.80pt;mso-position-vertical:absolute;width:91.25pt;height:38.52pt;mso-wrap-distance-left:9.00pt;mso-wrap-distance-top:0.00pt;mso-wrap-distance-right:9.00pt;mso-wrap-distance-bottom:0.00pt;visibility:visible;">
                <v:fill r:id="rId10" o:title="" type="frame"/>
              </v:shape>
            </w:pict>
          </mc:Fallback>
        </mc:AlternateContent>
      </w:r>
      <w:r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right="0" w:firstLine="0"/>
        <w:jc w:val="center"/>
        <w:spacing w:before="960" w:after="480" w:line="68" w:lineRule="atLeast"/>
        <w:shd w:val="clear" w:color="ffffff" w:fill="ffffff"/>
        <w:rPr>
          <w:rFonts w:ascii="Tinos" w:hAnsi="Tinos" w:eastAsia="Tinos" w:cs="Tinos"/>
          <w:b/>
          <w:bCs w:val="0"/>
          <w:i w:val="0"/>
          <w:color w:val="22222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 w:val="0"/>
          <w:iCs w:val="0"/>
          <w:color w:val="222222"/>
          <w:sz w:val="28"/>
          <w:szCs w:val="28"/>
        </w:rPr>
        <w:t xml:space="preserve">Эскроу-счета для строительства жилых домов</w:t>
      </w:r>
      <w:r>
        <w:rPr>
          <w:rFonts w:ascii="Tinos" w:hAnsi="Tinos" w:eastAsia="Tinos" w:cs="Tinos"/>
          <w:b/>
          <w:bCs w:val="0"/>
          <w:i w:val="0"/>
          <w:color w:val="222222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С 1 марта этого года вступил в силу закон «О строительстве жилых домов по договорам строительного подряда с использованием счетов эскроу».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300" w:line="360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</w:rPr>
        <w:t xml:space="preserve">Система, которая уже давно работает при покупке объектов в многоквартирных домах, распространилась и на частное строительство. Теперь заказчик может </w:t>
      </w:r>
      <w:hyperlink r:id="rId11" w:tooltip="http://publication.pravo.gov.ru/document/0001202407220001" w:history="1">
        <w:r>
          <w:rPr>
            <w:rStyle w:val="849"/>
            <w:rFonts w:ascii="Tinos" w:hAnsi="Tinos" w:eastAsia="Tinos" w:cs="Tinos"/>
            <w:color w:val="222222"/>
            <w:sz w:val="28"/>
            <w:szCs w:val="28"/>
            <w:u w:val="none"/>
          </w:rPr>
          <w:t xml:space="preserve">не переводить</w:t>
        </w:r>
      </w:hyperlink>
      <w:r>
        <w:rPr>
          <w:rFonts w:ascii="Tinos" w:hAnsi="Tinos" w:eastAsia="Tinos" w:cs="Tinos"/>
          <w:color w:val="222222"/>
          <w:sz w:val="28"/>
          <w:szCs w:val="28"/>
        </w:rPr>
        <w:t xml:space="preserve"> всю стоимость возведения объекта напрямую подрядчику. А вместо этого положить их на специальный счет в банке, который называют эскроу.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36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333333"/>
          <w:sz w:val="28"/>
          <w:szCs w:val="28"/>
        </w:rPr>
        <w:t xml:space="preserve">Счет эскроу – специальный счет в банке, на котором размещаются денежные средства заказчика до момента окончания строительства. Подрядчик получает доступ к средствам только после предоставления подписанного акта приема-передачи, отчета об оценке жилого дома</w:t>
      </w:r>
      <w:r>
        <w:rPr>
          <w:rFonts w:ascii="Tinos" w:hAnsi="Tinos" w:eastAsia="Tinos" w:cs="Tinos"/>
          <w:color w:val="333333"/>
          <w:sz w:val="28"/>
          <w:szCs w:val="28"/>
        </w:rPr>
        <w:t xml:space="preserve">, а также уведомления о соответствии построенного объекта требованиям законодательства. 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300" w:line="36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222222"/>
          <w:sz w:val="28"/>
          <w:szCs w:val="28"/>
        </w:rPr>
        <w:t xml:space="preserve">В отличие от многоквартирного строительства, использование эскроу — выбор заказчика. При желании он может использовать любой другой </w:t>
      </w:r>
      <w:hyperlink r:id="rId12" w:tooltip="https://kontur.ru/reestro/blog/50826-dengi_pri_pokupke_nedvizhimosti" w:history="1">
        <w:r>
          <w:rPr>
            <w:rStyle w:val="849"/>
            <w:rFonts w:ascii="Tinos" w:hAnsi="Tinos" w:eastAsia="Tinos" w:cs="Tinos"/>
            <w:i/>
            <w:iCs/>
            <w:color w:val="222222"/>
            <w:sz w:val="28"/>
            <w:szCs w:val="28"/>
            <w:u w:val="none"/>
          </w:rPr>
          <w:t xml:space="preserve">способ расчета»</w:t>
        </w:r>
        <w:r>
          <w:rPr>
            <w:rStyle w:val="849"/>
            <w:rFonts w:ascii="Tinos" w:hAnsi="Tinos" w:eastAsia="Tinos" w:cs="Tinos"/>
            <w:color w:val="222222"/>
            <w:sz w:val="28"/>
            <w:szCs w:val="28"/>
            <w:u w:val="none"/>
          </w:rPr>
          <w:t xml:space="preserve">, – отмечает руководитель управления Росреестра по Республике Адыгея </w:t>
        </w:r>
        <w:r>
          <w:rPr>
            <w:rStyle w:val="849"/>
            <w:rFonts w:ascii="Tinos" w:hAnsi="Tinos" w:eastAsia="Tinos" w:cs="Tinos"/>
            <w:b/>
            <w:bCs/>
            <w:color w:val="222222"/>
            <w:sz w:val="28"/>
            <w:szCs w:val="28"/>
            <w:u w:val="none"/>
          </w:rPr>
          <w:t xml:space="preserve">Марина Никифорова</w:t>
        </w:r>
        <w:r>
          <w:rPr>
            <w:rStyle w:val="849"/>
            <w:rFonts w:ascii="Tinos" w:hAnsi="Tinos" w:eastAsia="Tinos" w:cs="Tinos"/>
            <w:color w:val="222222"/>
            <w:sz w:val="28"/>
            <w:szCs w:val="28"/>
            <w:u w:val="none"/>
          </w:rPr>
          <w:t xml:space="preserve">.</w:t>
        </w:r>
      </w:hyperlink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line="360" w:lineRule="auto"/>
        <w:shd w:val="clear" w:color="ffffff" w:fill="ffffff"/>
        <w:rPr>
          <w:rFonts w:ascii="Tinos" w:hAnsi="Tinos" w:eastAsia="Tinos" w:cs="Tinos"/>
          <w:color w:val="333333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333333"/>
          <w:sz w:val="28"/>
          <w:szCs w:val="28"/>
        </w:rPr>
        <w:t xml:space="preserve">Такая схема взаимодействия возможна, если строительство осуществляется на земельном участке, который находится в собственности заказчика, на праве аренды или безвозмездного пользования в целях приобретения им права собственности на жилой дом, построенный н</w:t>
      </w:r>
      <w:r>
        <w:rPr>
          <w:rFonts w:ascii="Tinos" w:hAnsi="Tinos" w:eastAsia="Tinos" w:cs="Tinos"/>
          <w:color w:val="333333"/>
          <w:sz w:val="28"/>
          <w:szCs w:val="28"/>
        </w:rPr>
        <w:t xml:space="preserve">а таком участке. </w:t>
      </w:r>
      <w:r>
        <w:rPr>
          <w:rFonts w:ascii="Tinos" w:hAnsi="Tinos" w:eastAsia="Tinos" w:cs="Tinos"/>
          <w:color w:val="333333"/>
          <w:sz w:val="28"/>
          <w:szCs w:val="28"/>
        </w:rPr>
      </w:r>
      <w:r>
        <w:rPr>
          <w:rFonts w:ascii="Tinos" w:hAnsi="Tinos" w:eastAsia="Tinos" w:cs="Tinos"/>
          <w:color w:val="333333"/>
          <w:sz w:val="28"/>
          <w:szCs w:val="28"/>
        </w:rPr>
      </w:r>
    </w:p>
    <w:p>
      <w:pPr>
        <w:pStyle w:val="848"/>
        <w:jc w:val="both"/>
        <w:spacing w:before="0" w:beforeAutospacing="0" w:after="0" w:afterAutospacing="0"/>
        <w:shd w:val="clear" w:color="auto" w:fill="ffffff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character" w:styleId="678">
    <w:name w:val="Title Char"/>
    <w:basedOn w:val="836"/>
    <w:link w:val="841"/>
    <w:uiPriority w:val="10"/>
    <w:rPr>
      <w:sz w:val="48"/>
      <w:szCs w:val="48"/>
    </w:rPr>
  </w:style>
  <w:style w:type="character" w:styleId="679">
    <w:name w:val="Subtitle Char"/>
    <w:basedOn w:val="836"/>
    <w:link w:val="843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6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6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  <w:sz w:val="24"/>
    </w:rPr>
  </w:style>
  <w:style w:type="paragraph" w:styleId="834">
    <w:name w:val="Heading 1"/>
    <w:basedOn w:val="833"/>
    <w:next w:val="833"/>
    <w:link w:val="839"/>
    <w:uiPriority w:val="9"/>
    <w:qFormat/>
    <w:pPr>
      <w:keepNext/>
      <w:spacing w:before="240" w:after="60"/>
      <w:outlineLvl w:val="0"/>
    </w:pPr>
    <w:rPr>
      <w:rFonts w:ascii="Arial" w:hAnsi="Arial" w:eastAsiaTheme="majorEastAsia" w:cstheme="majorBidi"/>
      <w:b/>
      <w:bCs/>
      <w:sz w:val="32"/>
      <w:szCs w:val="32"/>
    </w:rPr>
  </w:style>
  <w:style w:type="paragraph" w:styleId="835">
    <w:name w:val="Heading 2"/>
    <w:basedOn w:val="833"/>
    <w:next w:val="833"/>
    <w:link w:val="84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eastAsiaTheme="majorEastAsia" w:cstheme="majorBidi"/>
      <w:b/>
      <w:bCs/>
      <w:i/>
      <w:iCs/>
      <w:sz w:val="28"/>
      <w:szCs w:val="28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uiPriority w:val="9"/>
    <w:rPr>
      <w:rFonts w:ascii="Arial" w:hAnsi="Arial" w:eastAsiaTheme="majorEastAsia" w:cstheme="majorBidi"/>
      <w:b/>
      <w:bCs/>
      <w:sz w:val="32"/>
      <w:szCs w:val="32"/>
    </w:rPr>
  </w:style>
  <w:style w:type="character" w:styleId="840" w:customStyle="1">
    <w:name w:val="Заголовок 2 Знак"/>
    <w:basedOn w:val="836"/>
    <w:link w:val="835"/>
    <w:uiPriority w:val="9"/>
    <w:semiHidden/>
    <w:rPr>
      <w:rFonts w:ascii="Arial" w:hAnsi="Arial" w:eastAsiaTheme="majorEastAsia" w:cstheme="majorBidi"/>
      <w:b/>
      <w:bCs/>
      <w:i/>
      <w:iCs/>
      <w:sz w:val="28"/>
      <w:szCs w:val="28"/>
    </w:rPr>
  </w:style>
  <w:style w:type="paragraph" w:styleId="841">
    <w:name w:val="Title"/>
    <w:basedOn w:val="833"/>
    <w:next w:val="833"/>
    <w:link w:val="842"/>
    <w:uiPriority w:val="10"/>
    <w:qFormat/>
    <w:pPr>
      <w:jc w:val="center"/>
      <w:spacing w:before="240" w:after="60"/>
      <w:outlineLvl w:val="0"/>
    </w:pPr>
    <w:rPr>
      <w:rFonts w:ascii="Arial" w:hAnsi="Arial" w:eastAsiaTheme="majorEastAsia" w:cstheme="majorBidi"/>
      <w:b/>
      <w:bCs/>
      <w:sz w:val="32"/>
      <w:szCs w:val="32"/>
    </w:rPr>
  </w:style>
  <w:style w:type="character" w:styleId="842" w:customStyle="1">
    <w:name w:val="Заголовок Знак"/>
    <w:basedOn w:val="836"/>
    <w:link w:val="841"/>
    <w:uiPriority w:val="10"/>
    <w:rPr>
      <w:rFonts w:ascii="Arial" w:hAnsi="Arial" w:eastAsiaTheme="majorEastAsia" w:cstheme="majorBidi"/>
      <w:b/>
      <w:bCs/>
      <w:sz w:val="32"/>
      <w:szCs w:val="32"/>
    </w:rPr>
  </w:style>
  <w:style w:type="paragraph" w:styleId="843">
    <w:name w:val="Subtitle"/>
    <w:basedOn w:val="833"/>
    <w:next w:val="833"/>
    <w:link w:val="844"/>
    <w:uiPriority w:val="11"/>
    <w:qFormat/>
    <w:pPr>
      <w:jc w:val="center"/>
      <w:spacing w:after="60"/>
      <w:outlineLvl w:val="1"/>
    </w:pPr>
    <w:rPr>
      <w:rFonts w:ascii="Arial" w:hAnsi="Arial" w:eastAsiaTheme="majorEastAsia" w:cstheme="majorBidi"/>
      <w:szCs w:val="24"/>
    </w:rPr>
  </w:style>
  <w:style w:type="character" w:styleId="844" w:customStyle="1">
    <w:name w:val="Подзаголовок Знак"/>
    <w:basedOn w:val="836"/>
    <w:link w:val="843"/>
    <w:uiPriority w:val="11"/>
    <w:rPr>
      <w:rFonts w:ascii="Arial" w:hAnsi="Arial" w:eastAsiaTheme="majorEastAsia" w:cstheme="majorBidi"/>
      <w:sz w:val="24"/>
      <w:szCs w:val="24"/>
    </w:rPr>
  </w:style>
  <w:style w:type="paragraph" w:styleId="845" w:customStyle="1">
    <w:name w:val="s7_mr_css_attr"/>
    <w:basedOn w:val="8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846" w:customStyle="1">
    <w:name w:val="bumpedfont15_mr_css_attr"/>
    <w:basedOn w:val="836"/>
  </w:style>
  <w:style w:type="paragraph" w:styleId="847" w:customStyle="1">
    <w:name w:val="s16_mr_css_attr"/>
    <w:basedOn w:val="8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848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849">
    <w:name w:val="Hyperlink"/>
    <w:basedOn w:val="836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://publication.pravo.gov.ru/document/0001202407220001" TargetMode="External"/><Relationship Id="rId12" Type="http://schemas.openxmlformats.org/officeDocument/2006/relationships/hyperlink" Target="https://kontur.ru/reestro/blog/50826-dengi_pri_pokupke_nedvizhimost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Валерия Валерьевна</dc:creator>
  <cp:revision>5</cp:revision>
  <dcterms:created xsi:type="dcterms:W3CDTF">2024-08-01T09:50:00Z</dcterms:created>
  <dcterms:modified xsi:type="dcterms:W3CDTF">2025-04-08T06:52:33Z</dcterms:modified>
</cp:coreProperties>
</file>