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-280034</wp:posOffset>
                </wp:positionH>
                <wp:positionV relativeFrom="paragraph">
                  <wp:posOffset>-434340</wp:posOffset>
                </wp:positionV>
                <wp:extent cx="957580" cy="942975"/>
                <wp:effectExtent l="0" t="0" r="0" b="9525"/>
                <wp:wrapNone/>
                <wp:docPr id="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7580" cy="9429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/>
                        </a:blip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margin;margin-left:-22.05pt;mso-position-horizontal:absolute;mso-position-vertical-relative:text;margin-top:-34.20pt;mso-position-vertical:absolute;width:75.40pt;height:74.25pt;mso-wrap-distance-left:9.00pt;mso-wrap-distance-top:0.00pt;mso-wrap-distance-right:9.00pt;mso-wrap-distance-bottom:0.00pt;visibility:visible;">
                <v:fill r:id="rId9" o:title="" type="frame"/>
              </v:shape>
            </w:pict>
          </mc:Fallback>
        </mc:AlternateContent>
      </w: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-10160</wp:posOffset>
                </wp:positionV>
                <wp:extent cx="1158898" cy="489250"/>
                <wp:effectExtent l="0" t="0" r="3175" b="6350"/>
                <wp:wrapNone/>
                <wp:docPr id="2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8897" cy="48925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/>
                        </a:blip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1312;o:allowoverlap:true;o:allowincell:true;mso-position-horizontal-relative:text;margin-left:63.00pt;mso-position-horizontal:absolute;mso-position-vertical-relative:text;margin-top:-0.80pt;mso-position-vertical:absolute;width:91.25pt;height:38.52pt;mso-wrap-distance-left:9.00pt;mso-wrap-distance-top:0.00pt;mso-wrap-distance-right:9.00pt;mso-wrap-distance-bottom:0.00pt;visibility:visible;">
                <v:fill r:id="rId10" o:title="" type="frame"/>
              </v:shape>
            </w:pict>
          </mc:Fallback>
        </mc:AlternateContent>
      </w:r>
      <w:r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r>
      <w:r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r>
      <w:r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r>
      <w:r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r>
      <w:r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r>
    </w:p>
    <w:p>
      <w:pPr>
        <w:pStyle w:val="848"/>
        <w:jc w:val="left"/>
        <w:spacing w:before="0" w:beforeAutospacing="0" w:after="0" w:afterAutospacing="0"/>
        <w:shd w:val="clear" w:color="auto" w:fill="ffffff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200" w:line="360" w:lineRule="auto"/>
        <w:shd w:val="clear" w:color="ffffff" w:fill="ffffff"/>
        <w:rPr>
          <w:rFonts w:ascii="Tinos" w:hAnsi="Tinos" w:eastAsia="Tinos" w:cs="Tinos"/>
          <w:b/>
          <w:bCs/>
          <w:i/>
          <w:color w:val="141414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iCs/>
          <w:color w:val="12121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i/>
          <w:color w:val="141414"/>
          <w:sz w:val="28"/>
          <w:szCs w:val="28"/>
        </w:rPr>
      </w:r>
      <w:r>
        <w:rPr>
          <w:rFonts w:ascii="Tinos" w:hAnsi="Tinos" w:eastAsia="Tinos" w:cs="Tinos"/>
          <w:b/>
          <w:bCs/>
          <w:i/>
          <w:color w:val="141414"/>
          <w:sz w:val="28"/>
          <w:szCs w:val="28"/>
        </w:rPr>
      </w:r>
    </w:p>
    <w:p>
      <w:pPr>
        <w:ind w:left="0" w:right="0" w:firstLine="0"/>
        <w:jc w:val="both"/>
        <w:spacing w:before="0" w:after="200" w:line="360" w:lineRule="auto"/>
        <w:shd w:val="clear" w:color="ffffff" w:fill="ffffff"/>
        <w:rPr>
          <w:rFonts w:ascii="Tinos" w:hAnsi="Tinos" w:eastAsia="Tinos" w:cs="Tinos"/>
          <w:b/>
          <w:bCs w:val="0"/>
          <w:i w:val="0"/>
          <w:color w:val="12121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 w:val="0"/>
          <w:iCs w:val="0"/>
          <w:color w:val="121212"/>
          <w:sz w:val="28"/>
          <w:szCs w:val="28"/>
          <w:highlight w:val="none"/>
        </w:rPr>
        <w:t xml:space="preserve">Что делать дачнику если границы земельного участка не установлены</w:t>
      </w:r>
      <w:r>
        <w:rPr>
          <w:rFonts w:ascii="Tinos" w:hAnsi="Tinos" w:eastAsia="Tinos" w:cs="Tinos"/>
          <w:b/>
          <w:bCs w:val="0"/>
          <w:i w:val="0"/>
          <w:color w:val="12121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 w:val="0"/>
          <w:i w:val="0"/>
          <w:color w:val="121212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00" w:line="360" w:lineRule="auto"/>
        <w:shd w:val="clear" w:color="ffffff" w:fill="ffffff"/>
        <w:rPr>
          <w:rFonts w:ascii="Tinos" w:hAnsi="Tinos" w:eastAsia="Tinos" w:cs="Tinos"/>
          <w:b/>
          <w:bCs/>
          <w:i/>
          <w:color w:val="12121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i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i/>
          <w:iCs/>
          <w:color w:val="222222"/>
          <w:sz w:val="28"/>
          <w:szCs w:val="28"/>
          <w:highlight w:val="none"/>
        </w:rPr>
        <w:t xml:space="preserve">С земельным участком, границы которого не установлены, невозможно совершить никаких регистрационных действий. Прежде чем такой участок продать или купить, необходимо </w:t>
      </w:r>
      <w:r>
        <w:rPr>
          <w:rFonts w:ascii="Tinos" w:hAnsi="Tinos" w:eastAsia="Tinos" w:cs="Tinos"/>
          <w:b/>
          <w:bCs/>
          <w:i/>
          <w:iCs/>
          <w:color w:val="121212"/>
          <w:sz w:val="28"/>
          <w:szCs w:val="28"/>
        </w:rPr>
        <w:t xml:space="preserve">установить точные границы земельного участка. Для этого потребуется пригласить </w:t>
      </w:r>
      <w:r>
        <w:rPr>
          <w:rFonts w:ascii="Tinos" w:hAnsi="Tinos" w:eastAsia="Tinos" w:cs="Tinos"/>
          <w:b/>
          <w:bCs/>
          <w:i/>
          <w:iCs/>
          <w:color w:val="222222"/>
          <w:sz w:val="28"/>
          <w:szCs w:val="28"/>
          <w:highlight w:val="white"/>
        </w:rPr>
        <w:t xml:space="preserve">кадастрового инженера</w:t>
      </w:r>
      <w:r>
        <w:rPr>
          <w:rFonts w:ascii="Tinos" w:hAnsi="Tinos" w:eastAsia="Tinos" w:cs="Tinos"/>
          <w:b/>
          <w:bCs/>
          <w:i/>
          <w:iCs/>
          <w:color w:val="121212"/>
          <w:sz w:val="28"/>
          <w:szCs w:val="28"/>
        </w:rPr>
        <w:t xml:space="preserve"> и провести межевание земли. </w:t>
      </w:r>
      <w:r>
        <w:rPr>
          <w:rFonts w:ascii="Tinos" w:hAnsi="Tinos" w:eastAsia="Tinos" w:cs="Tinos"/>
          <w:b/>
          <w:bCs/>
          <w:i/>
          <w:color w:val="12121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i/>
          <w:color w:val="121212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00" w:line="360" w:lineRule="auto"/>
        <w:shd w:val="clear" w:color="ffffff" w:fill="ffffff"/>
        <w:rPr>
          <w:rFonts w:ascii="Tinos" w:hAnsi="Tinos" w:cs="Tinos"/>
          <w:b w:val="0"/>
          <w:bCs w:val="0"/>
          <w:color w:val="141414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141414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141414"/>
          <w:sz w:val="28"/>
          <w:szCs w:val="28"/>
        </w:rPr>
        <w:t xml:space="preserve">1 марта 2025 года вступил в силу закон, согласно которому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white"/>
        </w:rPr>
        <w:t xml:space="preserve">продать, подарить земельный участок, а также совершить с ним иную подл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white"/>
        </w:rPr>
        <w:t xml:space="preserve">ежащую регистрации сделку, можно будет только в случае, если в Едином государственном реестре недвижимости (ЕГРН) содержатся сведения о местоположении его границ.</w:t>
      </w:r>
      <w:r>
        <w:rPr>
          <w:rFonts w:ascii="Tinos" w:hAnsi="Tinos" w:cs="Tinos"/>
          <w:b w:val="0"/>
          <w:bCs w:val="0"/>
          <w:color w:val="141414"/>
          <w:sz w:val="28"/>
          <w:szCs w:val="28"/>
        </w:rPr>
      </w:r>
      <w:r>
        <w:rPr>
          <w:rFonts w:ascii="Tinos" w:hAnsi="Tinos" w:cs="Tinos"/>
          <w:b w:val="0"/>
          <w:bCs w:val="0"/>
          <w:color w:val="141414"/>
          <w:sz w:val="28"/>
          <w:szCs w:val="28"/>
        </w:rPr>
      </w:r>
    </w:p>
    <w:p>
      <w:pPr>
        <w:ind w:left="0" w:right="0" w:firstLine="0"/>
        <w:jc w:val="both"/>
        <w:spacing w:before="0" w:after="200" w:line="360" w:lineRule="auto"/>
        <w:shd w:val="clear" w:color="ffffff" w:fill="ffffff"/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b w:val="0"/>
          <w:bCs w:val="0"/>
          <w:i/>
          <w:iCs/>
          <w:color w:val="auto"/>
          <w:sz w:val="28"/>
          <w:szCs w:val="28"/>
          <w:highlight w:val="white"/>
        </w:rPr>
        <w:t xml:space="preserve">Если сведения о границах земельного участка, который является предметом сделки, в ЕГРН отсутствуют, то орган регистрации обязан будет прио</w:t>
      </w:r>
      <w:r>
        <w:rPr>
          <w:rFonts w:ascii="Tinos" w:hAnsi="Tinos" w:eastAsia="Tinos" w:cs="Tinos"/>
          <w:b w:val="0"/>
          <w:bCs w:val="0"/>
          <w:i/>
          <w:iCs/>
          <w:color w:val="auto"/>
          <w:sz w:val="28"/>
          <w:szCs w:val="28"/>
          <w:highlight w:val="white"/>
        </w:rPr>
        <w:t xml:space="preserve">становить рассмотрение документов, что фактически приводит к приостановлению оформления сделк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white"/>
        </w:rPr>
        <w:t xml:space="preserve">и», – отметила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color w:val="auto"/>
          <w:sz w:val="28"/>
          <w:szCs w:val="28"/>
          <w:highlight w:val="white"/>
        </w:rPr>
        <w:t xml:space="preserve">Марина Никифорова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48"/>
        <w:jc w:val="both"/>
        <w:spacing w:before="0" w:beforeAutospacing="0" w:after="0" w:afterAutospacing="0" w:line="360" w:lineRule="auto"/>
        <w:shd w:val="clear" w:color="auto" w:fill="ffffff"/>
        <w:rPr>
          <w:rFonts w:ascii="Tinos" w:hAnsi="Tinos" w:eastAsia="Tinos" w:cs="Tinos"/>
          <w:bCs/>
          <w:i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Для сведения</w:t>
      </w:r>
      <w:r>
        <w:rPr>
          <w:rFonts w:ascii="Tinos" w:hAnsi="Tinos" w:eastAsia="Tinos" w:cs="Tinos"/>
          <w:bCs/>
          <w:i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Cs/>
          <w:i/>
          <w:color w:val="000000"/>
          <w:sz w:val="28"/>
          <w:szCs w:val="28"/>
          <w:highlight w:val="none"/>
        </w:rPr>
      </w:r>
    </w:p>
    <w:p>
      <w:pPr>
        <w:pStyle w:val="848"/>
        <w:jc w:val="both"/>
        <w:spacing w:before="0" w:beforeAutospacing="0" w:after="0" w:afterAutospacing="0" w:line="360" w:lineRule="auto"/>
        <w:shd w:val="clear" w:color="auto" w:fill="ffffff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Межевание – это комплекс кадастровых работ, включающих инженерно-геодезические изыскания, результатом исполнения которых является межевой план. В графической части межевого плана отображается местоположение границ земельного участка.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pStyle w:val="848"/>
        <w:jc w:val="both"/>
        <w:spacing w:before="0" w:beforeAutospacing="0" w:after="0" w:afterAutospacing="0" w:line="360" w:lineRule="auto"/>
        <w:shd w:val="clear" w:color="auto" w:fill="ffffff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Verdana" w:hAnsi="Verdana" w:eastAsia="Verdana" w:cs="Verdana"/>
          <w:color w:val="000000"/>
          <w:sz w:val="24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48"/>
        <w:jc w:val="both"/>
        <w:spacing w:before="0" w:beforeAutospacing="0" w:after="0" w:afterAutospacing="0" w:line="360" w:lineRule="auto"/>
        <w:shd w:val="clear" w:color="auto" w:fill="ffffff"/>
        <w:rPr>
          <w:rFonts w:ascii="Verdana" w:hAnsi="Verdana" w:eastAsia="Verdana" w:cs="Verdana"/>
          <w:color w:val="000000"/>
          <w:sz w:val="24"/>
          <w:szCs w:val="24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Межевание проводит кадастровый инженер на основании дого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вора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подряда на проведение кадастровых работ по определению (уточнению) площади и координат границ земельного участка. В процессе подготовки межевого плана инженер выезжает на место и проводит необходимые замеры для определения  местоположения границ земельного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участка путем вычисления координат поворотных точе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к границ и расчета площади земельного участка, проводит на местности согласование местоположения границ смежных участков с соседями. После этого кадастровый инженер по поручению правообладателя может представить подготовленный пакет документов в Росреестр.</w:t>
      </w:r>
      <w:r>
        <w:rPr>
          <w:rFonts w:ascii="Verdana" w:hAnsi="Verdana" w:eastAsia="Verdana" w:cs="Verdana"/>
          <w:color w:val="000000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000000"/>
          <w:sz w:val="24"/>
          <w:szCs w:val="24"/>
          <w:highlight w:val="none"/>
        </w:rPr>
      </w:r>
    </w:p>
    <w:p>
      <w:pPr>
        <w:pStyle w:val="848"/>
        <w:jc w:val="both"/>
        <w:spacing w:before="0" w:beforeAutospacing="0" w:after="0" w:afterAutospacing="0" w:line="360" w:lineRule="auto"/>
        <w:shd w:val="clear" w:color="auto" w:fill="ffffff"/>
        <w:rPr>
          <w:rFonts w:ascii="Verdana" w:hAnsi="Verdana" w:eastAsia="Verdana" w:cs="Verdana"/>
          <w:color w:val="000000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000000"/>
          <w:sz w:val="24"/>
          <w:highlight w:val="none"/>
        </w:rPr>
        <w:br/>
      </w:r>
      <w:r>
        <w:rPr>
          <w:rFonts w:ascii="Verdana" w:hAnsi="Verdana" w:eastAsia="Verdana" w:cs="Verdana"/>
          <w:color w:val="000000"/>
          <w:sz w:val="24"/>
        </w:rPr>
        <w:br/>
      </w:r>
      <w:r>
        <w:rPr>
          <w:rFonts w:ascii="Verdana" w:hAnsi="Verdana" w:eastAsia="Verdana" w:cs="Verdana"/>
          <w:color w:val="000000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4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character" w:styleId="678">
    <w:name w:val="Title Char"/>
    <w:basedOn w:val="836"/>
    <w:link w:val="841"/>
    <w:uiPriority w:val="10"/>
    <w:rPr>
      <w:sz w:val="48"/>
      <w:szCs w:val="48"/>
    </w:rPr>
  </w:style>
  <w:style w:type="character" w:styleId="679">
    <w:name w:val="Subtitle Char"/>
    <w:basedOn w:val="836"/>
    <w:link w:val="843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6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6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6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6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  <w:sz w:val="24"/>
    </w:rPr>
  </w:style>
  <w:style w:type="paragraph" w:styleId="834">
    <w:name w:val="Heading 1"/>
    <w:basedOn w:val="833"/>
    <w:next w:val="833"/>
    <w:link w:val="839"/>
    <w:uiPriority w:val="9"/>
    <w:qFormat/>
    <w:pPr>
      <w:keepNext/>
      <w:spacing w:before="240" w:after="60"/>
      <w:outlineLvl w:val="0"/>
    </w:pPr>
    <w:rPr>
      <w:rFonts w:ascii="Arial" w:hAnsi="Arial" w:eastAsiaTheme="majorEastAsia" w:cstheme="majorBidi"/>
      <w:b/>
      <w:bCs/>
      <w:sz w:val="32"/>
      <w:szCs w:val="32"/>
    </w:rPr>
  </w:style>
  <w:style w:type="paragraph" w:styleId="835">
    <w:name w:val="Heading 2"/>
    <w:basedOn w:val="833"/>
    <w:next w:val="833"/>
    <w:link w:val="84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eastAsiaTheme="majorEastAsia" w:cstheme="majorBidi"/>
      <w:b/>
      <w:bCs/>
      <w:i/>
      <w:iCs/>
      <w:sz w:val="28"/>
      <w:szCs w:val="28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34"/>
    <w:uiPriority w:val="9"/>
    <w:rPr>
      <w:rFonts w:ascii="Arial" w:hAnsi="Arial" w:eastAsiaTheme="majorEastAsia" w:cstheme="majorBidi"/>
      <w:b/>
      <w:bCs/>
      <w:sz w:val="32"/>
      <w:szCs w:val="32"/>
    </w:rPr>
  </w:style>
  <w:style w:type="character" w:styleId="840" w:customStyle="1">
    <w:name w:val="Заголовок 2 Знак"/>
    <w:basedOn w:val="836"/>
    <w:link w:val="835"/>
    <w:uiPriority w:val="9"/>
    <w:semiHidden/>
    <w:rPr>
      <w:rFonts w:ascii="Arial" w:hAnsi="Arial" w:eastAsiaTheme="majorEastAsia" w:cstheme="majorBidi"/>
      <w:b/>
      <w:bCs/>
      <w:i/>
      <w:iCs/>
      <w:sz w:val="28"/>
      <w:szCs w:val="28"/>
    </w:rPr>
  </w:style>
  <w:style w:type="paragraph" w:styleId="841">
    <w:name w:val="Title"/>
    <w:basedOn w:val="833"/>
    <w:next w:val="833"/>
    <w:link w:val="842"/>
    <w:uiPriority w:val="10"/>
    <w:qFormat/>
    <w:pPr>
      <w:jc w:val="center"/>
      <w:spacing w:before="240" w:after="60"/>
      <w:outlineLvl w:val="0"/>
    </w:pPr>
    <w:rPr>
      <w:rFonts w:ascii="Arial" w:hAnsi="Arial" w:eastAsiaTheme="majorEastAsia" w:cstheme="majorBidi"/>
      <w:b/>
      <w:bCs/>
      <w:sz w:val="32"/>
      <w:szCs w:val="32"/>
    </w:rPr>
  </w:style>
  <w:style w:type="character" w:styleId="842" w:customStyle="1">
    <w:name w:val="Заголовок Знак"/>
    <w:basedOn w:val="836"/>
    <w:link w:val="841"/>
    <w:uiPriority w:val="10"/>
    <w:rPr>
      <w:rFonts w:ascii="Arial" w:hAnsi="Arial" w:eastAsiaTheme="majorEastAsia" w:cstheme="majorBidi"/>
      <w:b/>
      <w:bCs/>
      <w:sz w:val="32"/>
      <w:szCs w:val="32"/>
    </w:rPr>
  </w:style>
  <w:style w:type="paragraph" w:styleId="843">
    <w:name w:val="Subtitle"/>
    <w:basedOn w:val="833"/>
    <w:next w:val="833"/>
    <w:link w:val="844"/>
    <w:uiPriority w:val="11"/>
    <w:qFormat/>
    <w:pPr>
      <w:jc w:val="center"/>
      <w:spacing w:after="60"/>
      <w:outlineLvl w:val="1"/>
    </w:pPr>
    <w:rPr>
      <w:rFonts w:ascii="Arial" w:hAnsi="Arial" w:eastAsiaTheme="majorEastAsia" w:cstheme="majorBidi"/>
      <w:szCs w:val="24"/>
    </w:rPr>
  </w:style>
  <w:style w:type="character" w:styleId="844" w:customStyle="1">
    <w:name w:val="Подзаголовок Знак"/>
    <w:basedOn w:val="836"/>
    <w:link w:val="843"/>
    <w:uiPriority w:val="11"/>
    <w:rPr>
      <w:rFonts w:ascii="Arial" w:hAnsi="Arial" w:eastAsiaTheme="majorEastAsia" w:cstheme="majorBidi"/>
      <w:sz w:val="24"/>
      <w:szCs w:val="24"/>
    </w:rPr>
  </w:style>
  <w:style w:type="paragraph" w:styleId="845" w:customStyle="1">
    <w:name w:val="s7_mr_css_attr"/>
    <w:basedOn w:val="8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846" w:customStyle="1">
    <w:name w:val="bumpedfont15_mr_css_attr"/>
    <w:basedOn w:val="836"/>
  </w:style>
  <w:style w:type="paragraph" w:styleId="847" w:customStyle="1">
    <w:name w:val="s16_mr_css_attr"/>
    <w:basedOn w:val="8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848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849">
    <w:name w:val="Hyperlink"/>
    <w:basedOn w:val="836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Валерия Валерьевна</dc:creator>
  <cp:revision>6</cp:revision>
  <dcterms:created xsi:type="dcterms:W3CDTF">2024-08-01T09:50:00Z</dcterms:created>
  <dcterms:modified xsi:type="dcterms:W3CDTF">2025-04-07T05:40:51Z</dcterms:modified>
</cp:coreProperties>
</file>