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8"/>
      </w:pPr>
      <w:r/>
      <w:r/>
    </w:p>
    <w:p>
      <w:pPr>
        <w:pStyle w:val="85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14.05.2025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52"/>
        <w:ind w:left="0" w:right="0" w:firstLine="0"/>
        <w:jc w:val="center"/>
        <w:spacing w:before="0" w:line="600" w:lineRule="atLeast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273350"/>
          <w:sz w:val="28"/>
          <w:szCs w:val="28"/>
          <w:highlight w:val="none"/>
        </w:rPr>
      </w:r>
      <w:r>
        <w:rPr>
          <w:rFonts w:ascii="Tinos" w:hAnsi="Tinos" w:eastAsia="Tinos" w:cs="Tinos"/>
          <w:b/>
          <w:color w:val="273350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52"/>
        <w:ind w:left="0" w:right="0" w:firstLine="0"/>
        <w:jc w:val="center"/>
        <w:spacing w:before="0" w:line="240" w:lineRule="auto"/>
        <w:shd w:val="clear" w:color="ffffff" w:fill="ffffff"/>
        <w:rPr>
          <w:rFonts w:ascii="Tinos" w:hAnsi="Tinos" w:eastAsia="Tinos" w:cs="Tinos"/>
          <w:b/>
          <w:bCs/>
          <w:color w:val="27335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color w:val="273350"/>
          <w:sz w:val="28"/>
          <w:szCs w:val="28"/>
        </w:rPr>
      </w:r>
      <w:r>
        <w:rPr>
          <w:rFonts w:ascii="Tinos" w:hAnsi="Tinos" w:eastAsia="Tinos" w:cs="Tinos"/>
          <w:b/>
          <w:bCs/>
          <w:color w:val="3d4146"/>
          <w:sz w:val="28"/>
          <w:szCs w:val="28"/>
        </w:rPr>
        <w:t xml:space="preserve">В рамках проекта «Земля для стройки» выявлено </w:t>
      </w:r>
      <w:r>
        <w:rPr>
          <w:rFonts w:ascii="Tinos" w:hAnsi="Tinos" w:eastAsia="Tinos" w:cs="Tinos"/>
          <w:b/>
          <w:bCs/>
          <w:i w:val="0"/>
          <w:iCs w:val="0"/>
          <w:color w:val="000000" w:themeColor="text1"/>
          <w:sz w:val="28"/>
          <w:szCs w:val="28"/>
          <w:highlight w:val="none"/>
        </w:rPr>
        <w:t xml:space="preserve">порядка 470</w:t>
      </w:r>
      <w:r>
        <w:rPr>
          <w:rFonts w:ascii="Tinos" w:hAnsi="Tinos" w:eastAsia="Tinos" w:cs="Tinos"/>
          <w:b/>
          <w:bCs/>
          <w:i w:val="0"/>
          <w:iCs w:val="0"/>
          <w:color w:val="273350"/>
          <w:sz w:val="28"/>
          <w:szCs w:val="28"/>
        </w:rPr>
        <w:t xml:space="preserve"> га</w:t>
      </w:r>
      <w:r>
        <w:rPr>
          <w:rFonts w:ascii="Tinos" w:hAnsi="Tinos" w:eastAsia="Tinos" w:cs="Tinos"/>
          <w:b/>
          <w:bCs/>
          <w:color w:val="3d4146"/>
          <w:sz w:val="28"/>
          <w:szCs w:val="28"/>
        </w:rPr>
        <w:t xml:space="preserve"> для жилищного строительства</w:t>
      </w:r>
      <w:r>
        <w:rPr>
          <w:rFonts w:ascii="Tinos" w:hAnsi="Tinos" w:eastAsia="Tinos" w:cs="Tinos"/>
          <w:b/>
          <w:bCs/>
          <w:color w:val="273350"/>
          <w:sz w:val="28"/>
          <w:szCs w:val="28"/>
        </w:rPr>
        <w:t xml:space="preserve"> в Адыгее</w:t>
      </w:r>
      <w:r>
        <w:rPr>
          <w:rFonts w:ascii="Tinos" w:hAnsi="Tinos" w:eastAsia="Tinos" w:cs="Tinos"/>
          <w:b/>
          <w:bCs/>
          <w:color w:val="27335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line="71" w:lineRule="atLeast"/>
        <w:shd w:val="clear" w:color="ffffff" w:fill="ffffff"/>
        <w:rPr>
          <w:rFonts w:ascii="Tinos" w:hAnsi="Tinos" w:cs="Tino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color w:val="212121"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ind w:left="0" w:right="0" w:firstLine="0"/>
        <w:jc w:val="both"/>
        <w:spacing w:before="0" w:after="210"/>
        <w:shd w:val="clear" w:color="ffffff" w:fill="ffffff"/>
        <w:rPr>
          <w:rFonts w:ascii="Tinos" w:hAnsi="Tinos" w:cs="Tinos"/>
          <w:i w:val="0"/>
          <w:i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 w:val="0"/>
          <w:iCs w:val="0"/>
          <w:color w:val="273350"/>
          <w:sz w:val="28"/>
          <w:szCs w:val="28"/>
        </w:rPr>
        <w:t xml:space="preserve">Проект Росреестра «Земля для стройки», запущенный в 2021 году, позволил выявить в Адыгее 1240 земельных участков и территорий, 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  <w:highlight w:val="white"/>
        </w:rPr>
        <w:t xml:space="preserve">пригодных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для вовлечения в оборот в целях жилищного строительства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  <w:highlight w:val="none"/>
        </w:rPr>
        <w:t xml:space="preserve">, это порядка 470</w:t>
      </w:r>
      <w:r>
        <w:rPr>
          <w:rFonts w:ascii="Tinos" w:hAnsi="Tinos" w:eastAsia="Tinos" w:cs="Tinos"/>
          <w:i w:val="0"/>
          <w:iCs w:val="0"/>
          <w:color w:val="273350"/>
          <w:sz w:val="28"/>
          <w:szCs w:val="28"/>
        </w:rPr>
        <w:t xml:space="preserve"> га.</w:t>
      </w:r>
      <w:r>
        <w:rPr>
          <w:rFonts w:ascii="Tinos" w:hAnsi="Tinos" w:eastAsia="Tinos" w:cs="Tinos"/>
          <w:i w:val="0"/>
          <w:iCs w:val="0"/>
          <w:sz w:val="28"/>
          <w:szCs w:val="28"/>
        </w:rPr>
        <w:t xml:space="preserve"> Из них </w:t>
      </w:r>
      <w:r>
        <w:rPr>
          <w:rFonts w:ascii="Tinos" w:hAnsi="Tinos" w:eastAsia="Tinos" w:cs="Tinos"/>
          <w:i w:val="0"/>
          <w:iCs w:val="0"/>
          <w:color w:val="273350"/>
          <w:sz w:val="28"/>
          <w:szCs w:val="28"/>
        </w:rPr>
        <w:t xml:space="preserve">98,48 га </w:t>
      </w:r>
      <w:r>
        <w:rPr>
          <w:rFonts w:ascii="Tinos" w:hAnsi="Tinos" w:eastAsia="Tinos" w:cs="Tinos"/>
          <w:i w:val="0"/>
          <w:iCs w:val="0"/>
          <w:color w:val="273350"/>
          <w:sz w:val="28"/>
          <w:szCs w:val="28"/>
        </w:rPr>
        <w:t xml:space="preserve">предоставлено уполномоченным органом</w:t>
      </w:r>
      <w:r>
        <w:rPr>
          <w:rFonts w:ascii="Tinos" w:hAnsi="Tinos" w:eastAsia="Tinos" w:cs="Tinos"/>
          <w:i w:val="0"/>
          <w:iCs w:val="0"/>
          <w:color w:val="273350"/>
          <w:sz w:val="28"/>
          <w:szCs w:val="28"/>
        </w:rPr>
        <w:t xml:space="preserve"> заинтересованным лицам для застройки</w:t>
      </w:r>
      <w:r>
        <w:rPr>
          <w:rFonts w:ascii="Tinos" w:hAnsi="Tinos" w:eastAsia="Tinos" w:cs="Tinos"/>
          <w:i w:val="0"/>
          <w:iCs w:val="0"/>
          <w:sz w:val="28"/>
          <w:szCs w:val="28"/>
        </w:rPr>
        <w:t xml:space="preserve">, а</w:t>
      </w:r>
      <w:r>
        <w:rPr>
          <w:rFonts w:ascii="Tinos" w:hAnsi="Tinos" w:eastAsia="Tinos" w:cs="Tinos"/>
          <w:i w:val="0"/>
          <w:iCs w:val="0"/>
          <w:color w:val="292c2f"/>
          <w:sz w:val="28"/>
          <w:szCs w:val="28"/>
        </w:rPr>
        <w:t xml:space="preserve"> участки площадью</w:t>
      </w:r>
      <w:r>
        <w:rPr>
          <w:rFonts w:ascii="Tinos" w:hAnsi="Tinos" w:eastAsia="Tinos" w:cs="Tinos"/>
          <w:i w:val="0"/>
          <w:iCs w:val="0"/>
          <w:color w:val="273350"/>
          <w:sz w:val="28"/>
          <w:szCs w:val="28"/>
        </w:rPr>
        <w:t xml:space="preserve"> 370,21</w:t>
      </w:r>
      <w:r>
        <w:rPr>
          <w:rFonts w:ascii="Tinos" w:hAnsi="Tinos" w:eastAsia="Tinos" w:cs="Tinos"/>
          <w:i w:val="0"/>
          <w:iCs w:val="0"/>
          <w:color w:val="273350"/>
          <w:sz w:val="28"/>
          <w:szCs w:val="28"/>
        </w:rPr>
        <w:t xml:space="preserve"> га</w:t>
      </w:r>
      <w:r>
        <w:rPr>
          <w:rFonts w:ascii="Tinos" w:hAnsi="Tinos" w:eastAsia="Tinos" w:cs="Tinos"/>
          <w:i w:val="0"/>
          <w:iCs w:val="0"/>
          <w:sz w:val="28"/>
          <w:szCs w:val="28"/>
        </w:rPr>
        <w:t xml:space="preserve"> ждут своих застройщиков.</w:t>
      </w:r>
      <w:r>
        <w:rPr>
          <w:rFonts w:ascii="Tinos" w:hAnsi="Tinos" w:cs="Tinos"/>
          <w:i w:val="0"/>
          <w:iCs w:val="0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color w:val="333333"/>
          <w:sz w:val="28"/>
          <w:szCs w:val="28"/>
          <w:highlight w:val="none"/>
        </w:rPr>
        <w:outlineLvl w:val="1"/>
      </w:pPr>
      <w:r>
        <w:rPr>
          <w:rFonts w:ascii="Tinos" w:hAnsi="Tinos" w:eastAsia="Tinos" w:cs="Tinos"/>
          <w:color w:val="333333"/>
          <w:sz w:val="28"/>
          <w:szCs w:val="28"/>
          <w:highlight w:val="none"/>
        </w:rPr>
      </w:r>
      <w:r>
        <w:rPr>
          <w:rFonts w:ascii="Tinos" w:hAnsi="Tinos" w:eastAsia="Tinos" w:cs="Tinos"/>
          <w:color w:val="333333"/>
          <w:sz w:val="28"/>
          <w:szCs w:val="28"/>
          <w:highlight w:val="white"/>
        </w:rPr>
        <w:t xml:space="preserve">«</w:t>
      </w:r>
      <w:r>
        <w:rPr>
          <w:rFonts w:ascii="Tinos" w:hAnsi="Tinos" w:eastAsia="Tinos" w:cs="Tinos"/>
          <w:i/>
          <w:iCs/>
          <w:color w:val="333333"/>
          <w:sz w:val="28"/>
          <w:szCs w:val="28"/>
          <w:highlight w:val="white"/>
        </w:rPr>
        <w:t xml:space="preserve">Повышение эффективности использования земель, вовлечение их в экономический оборот является одной из приоритетных задач, стоящих перед ведомством. Работа по выявлению земельных участков, использование которых возможно под жилищное строительство, проходит </w:t>
      </w:r>
      <w:r>
        <w:rPr>
          <w:rFonts w:ascii="Tinos" w:hAnsi="Tinos" w:eastAsia="Tinos" w:cs="Tinos"/>
          <w:i/>
          <w:iCs/>
          <w:color w:val="333333"/>
          <w:sz w:val="28"/>
          <w:szCs w:val="28"/>
          <w:highlight w:val="white"/>
        </w:rPr>
        <w:t xml:space="preserve">в</w:t>
      </w:r>
      <w:r>
        <w:rPr>
          <w:rFonts w:ascii="Tinos" w:hAnsi="Tinos" w:eastAsia="Tinos" w:cs="Tinos"/>
          <w:i/>
          <w:iCs/>
          <w:color w:val="333333"/>
          <w:sz w:val="28"/>
          <w:szCs w:val="28"/>
          <w:highlight w:val="white"/>
        </w:rPr>
        <w:t xml:space="preserve">о всех субъектах страны, Республика Адыгея не является исключением. Региональное Управление находится в постоянном контакте с органами власти республики, совместно координируя и отслеживая работу в обозначенном направлении в интересах граждан и участнико</w:t>
      </w:r>
      <w:r>
        <w:rPr>
          <w:rFonts w:ascii="Tinos" w:hAnsi="Tinos" w:eastAsia="Tinos" w:cs="Tinos"/>
          <w:i/>
          <w:iCs/>
          <w:color w:val="333333"/>
          <w:sz w:val="28"/>
          <w:szCs w:val="28"/>
          <w:highlight w:val="white"/>
        </w:rPr>
        <w:t xml:space="preserve">в рынка. Благодаря проделанной работе, на практике реализованы оптимальные условия предоставления земельных участков потребителю в рамках проекта «Земля для стройки». Управлением на постоянной основе осуществляется актуализация данных, совместно с регионал</w:t>
      </w:r>
      <w:r>
        <w:rPr>
          <w:rFonts w:ascii="Tinos" w:hAnsi="Tinos" w:eastAsia="Tinos" w:cs="Tinos"/>
          <w:i/>
          <w:iCs/>
          <w:color w:val="333333"/>
          <w:sz w:val="28"/>
          <w:szCs w:val="28"/>
          <w:highlight w:val="white"/>
        </w:rPr>
        <w:t xml:space="preserve">ьной управленческой командой проводится работа по выявлению новых земельных участков и территорий для их дальнейшего вовлечения в оборот</w:t>
      </w:r>
      <w:r>
        <w:rPr>
          <w:rFonts w:ascii="Tinos" w:hAnsi="Tinos" w:eastAsia="Tinos" w:cs="Tinos"/>
          <w:color w:val="333333"/>
          <w:sz w:val="28"/>
          <w:szCs w:val="28"/>
          <w:highlight w:val="white"/>
        </w:rPr>
        <w:t xml:space="preserve">», - комментирует</w:t>
      </w:r>
      <w:r>
        <w:rPr>
          <w:rFonts w:ascii="Tinos" w:hAnsi="Tinos" w:eastAsia="Tinos" w:cs="Tinos"/>
          <w:color w:val="333333"/>
          <w:sz w:val="28"/>
          <w:szCs w:val="28"/>
          <w:highlight w:val="none"/>
        </w:rPr>
        <w:t xml:space="preserve"> руководитель Управления Росреестра по Республике Адыгея </w:t>
      </w:r>
      <w:r>
        <w:rPr>
          <w:rFonts w:ascii="Tinos" w:hAnsi="Tinos" w:eastAsia="Tinos" w:cs="Tinos"/>
          <w:b/>
          <w:bCs/>
          <w:color w:val="333333"/>
          <w:sz w:val="28"/>
          <w:szCs w:val="28"/>
          <w:highlight w:val="none"/>
        </w:rPr>
        <w:t xml:space="preserve">Марина Никифорова</w:t>
      </w:r>
      <w:r>
        <w:rPr>
          <w:rFonts w:ascii="Tinos" w:hAnsi="Tinos" w:eastAsia="Tinos" w:cs="Tinos"/>
          <w:color w:val="333333"/>
          <w:sz w:val="28"/>
          <w:szCs w:val="28"/>
          <w:highlight w:val="none"/>
        </w:rPr>
        <w:t xml:space="preserve">.</w:t>
      </w:r>
      <w:r>
        <w:rPr>
          <w:rFonts w:ascii="Tinos" w:hAnsi="Tinos" w:cs="Tinos"/>
          <w:color w:val="333333"/>
          <w:sz w:val="28"/>
          <w:szCs w:val="28"/>
          <w:highlight w:val="none"/>
        </w:rPr>
      </w:r>
      <w:r>
        <w:rPr>
          <w:rFonts w:ascii="Tinos" w:hAnsi="Tinos" w:cs="Tinos"/>
          <w:color w:val="333333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210"/>
        <w:shd w:val="clear" w:color="ffffff" w:fill="ffffff"/>
        <w:rPr>
          <w:rFonts w:ascii="Tinos" w:hAnsi="Tinos" w:eastAsia="Tinos" w:cs="Tinos"/>
          <w:color w:val="27335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73350"/>
          <w:sz w:val="28"/>
          <w:szCs w:val="28"/>
        </w:rPr>
        <w:t xml:space="preserve">Посредством  онлайн сервиса </w:t>
      </w:r>
      <w:r>
        <w:rPr>
          <w:rFonts w:ascii="Tinos" w:hAnsi="Tinos" w:eastAsia="Tinos" w:cs="Tinos"/>
          <w:color w:val="273350"/>
          <w:sz w:val="28"/>
          <w:szCs w:val="28"/>
        </w:rPr>
        <w:t xml:space="preserve">«Земля для стройки»</w:t>
      </w:r>
      <w:r>
        <w:rPr>
          <w:rFonts w:ascii="Tinos" w:hAnsi="Tinos" w:eastAsia="Tinos" w:cs="Tinos"/>
          <w:color w:val="273350"/>
          <w:sz w:val="28"/>
          <w:szCs w:val="28"/>
        </w:rPr>
        <w:t xml:space="preserve"> портала </w:t>
      </w:r>
      <w:r>
        <w:rPr>
          <w:rFonts w:ascii="Tinos" w:hAnsi="Tinos" w:eastAsia="Tinos" w:cs="Tinos"/>
          <w:b w:val="0"/>
          <w:bCs w:val="0"/>
          <w:color w:val="252625"/>
          <w:sz w:val="28"/>
          <w:szCs w:val="28"/>
        </w:rPr>
        <w:t xml:space="preserve">пространственных данных </w:t>
      </w:r>
      <w:hyperlink r:id="rId10" w:tooltip="https://nspd.gov.ru/construction-nspd" w:history="1">
        <w:r>
          <w:rPr>
            <w:rStyle w:val="861"/>
            <w:rFonts w:ascii="Tinos" w:hAnsi="Tinos" w:eastAsia="Tinos" w:cs="Tinos"/>
            <w:b w:val="0"/>
            <w:bCs w:val="0"/>
            <w:sz w:val="28"/>
            <w:szCs w:val="28"/>
          </w:rPr>
          <w:t xml:space="preserve">Национальная система пространственных</w:t>
        </w:r>
      </w:hyperlink>
      <w:r>
        <w:rPr>
          <w:rFonts w:ascii="Tinos" w:hAnsi="Tinos" w:eastAsia="Tinos" w:cs="Tinos"/>
          <w:b w:val="0"/>
          <w:bCs w:val="0"/>
          <w:color w:val="252625"/>
          <w:sz w:val="28"/>
          <w:szCs w:val="28"/>
        </w:rPr>
        <w:t xml:space="preserve"> данных </w:t>
      </w:r>
      <w:r>
        <w:rPr>
          <w:rFonts w:ascii="Tinos" w:hAnsi="Tinos" w:eastAsia="Tinos" w:cs="Tinos"/>
          <w:color w:val="273350"/>
          <w:sz w:val="28"/>
          <w:szCs w:val="28"/>
        </w:rPr>
        <w:t xml:space="preserve">любой желающий может подать заявление в уполномоченный орган д</w:t>
      </w:r>
      <w:r>
        <w:rPr>
          <w:rFonts w:ascii="Tinos" w:hAnsi="Tinos" w:eastAsia="Tinos" w:cs="Tinos"/>
          <w:color w:val="273350"/>
          <w:sz w:val="28"/>
          <w:szCs w:val="28"/>
        </w:rPr>
        <w:t xml:space="preserve">ля получения земельного участка. Воспользоваться услугой могут как инвесторы и застройщики, которые выбирают участки для возведения многоквартирных домов или коттеджных посёлков, так и простые граждане – для частного строительства.</w:t>
      </w:r>
      <w:r>
        <w:rPr>
          <w:rFonts w:ascii="Tinos" w:hAnsi="Tinos" w:eastAsia="Tinos" w:cs="Tinos"/>
          <w:color w:val="273350"/>
          <w:sz w:val="28"/>
          <w:szCs w:val="28"/>
          <w:highlight w:val="none"/>
        </w:rPr>
      </w:r>
      <w:r>
        <w:rPr>
          <w:rFonts w:ascii="Tinos" w:hAnsi="Tinos" w:eastAsia="Tinos" w:cs="Tinos"/>
          <w:color w:val="27335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210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73350"/>
          <w:sz w:val="28"/>
          <w:szCs w:val="28"/>
        </w:rPr>
        <w:t xml:space="preserve">На указанном сервисе также имеется актуальный перечень доступных земельных участков и территорий.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3"/>
    <w:link w:val="852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1"/>
    <w:next w:val="851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3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3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3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3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3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3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1"/>
    <w:next w:val="851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3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1"/>
    <w:next w:val="85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3"/>
    <w:link w:val="695"/>
    <w:uiPriority w:val="10"/>
    <w:rPr>
      <w:sz w:val="48"/>
      <w:szCs w:val="48"/>
    </w:rPr>
  </w:style>
  <w:style w:type="paragraph" w:styleId="697">
    <w:name w:val="Subtitle"/>
    <w:basedOn w:val="851"/>
    <w:next w:val="85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1"/>
    <w:next w:val="851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1"/>
    <w:next w:val="851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3"/>
    <w:link w:val="703"/>
    <w:uiPriority w:val="99"/>
  </w:style>
  <w:style w:type="paragraph" w:styleId="705">
    <w:name w:val="Footer"/>
    <w:basedOn w:val="85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3"/>
    <w:link w:val="705"/>
    <w:uiPriority w:val="99"/>
  </w:style>
  <w:style w:type="paragraph" w:styleId="707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1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1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paragraph" w:styleId="852">
    <w:name w:val="Heading 1"/>
    <w:basedOn w:val="851"/>
    <w:next w:val="851"/>
    <w:link w:val="859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Balloon Text"/>
    <w:basedOn w:val="851"/>
    <w:link w:val="8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3"/>
    <w:link w:val="856"/>
    <w:uiPriority w:val="99"/>
    <w:semiHidden/>
    <w:rPr>
      <w:rFonts w:ascii="Segoe UI" w:hAnsi="Segoe UI" w:cs="Segoe UI"/>
      <w:sz w:val="18"/>
      <w:szCs w:val="18"/>
    </w:rPr>
  </w:style>
  <w:style w:type="paragraph" w:styleId="858">
    <w:name w:val="No Spacing"/>
    <w:uiPriority w:val="1"/>
    <w:qFormat/>
    <w:pPr>
      <w:spacing w:after="0" w:line="240" w:lineRule="auto"/>
    </w:pPr>
  </w:style>
  <w:style w:type="character" w:styleId="859" w:customStyle="1">
    <w:name w:val="Заголовок 1 Знак"/>
    <w:basedOn w:val="853"/>
    <w:link w:val="852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0">
    <w:name w:val="List Paragraph"/>
    <w:basedOn w:val="851"/>
    <w:uiPriority w:val="34"/>
    <w:qFormat/>
    <w:pPr>
      <w:contextualSpacing/>
      <w:ind w:left="720"/>
      <w:spacing w:line="256" w:lineRule="auto"/>
    </w:pPr>
  </w:style>
  <w:style w:type="character" w:styleId="861">
    <w:name w:val="Hyperlink"/>
    <w:basedOn w:val="853"/>
    <w:uiPriority w:val="99"/>
    <w:unhideWhenUsed/>
    <w:rPr>
      <w:color w:val="0563c1" w:themeColor="hyperlink"/>
      <w:u w:val="single"/>
    </w:rPr>
  </w:style>
  <w:style w:type="character" w:styleId="862">
    <w:name w:val="annotation reference"/>
    <w:basedOn w:val="853"/>
    <w:uiPriority w:val="99"/>
    <w:semiHidden/>
    <w:unhideWhenUsed/>
    <w:rPr>
      <w:sz w:val="16"/>
      <w:szCs w:val="16"/>
    </w:rPr>
  </w:style>
  <w:style w:type="paragraph" w:styleId="863">
    <w:name w:val="annotation text"/>
    <w:basedOn w:val="851"/>
    <w:link w:val="86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4" w:customStyle="1">
    <w:name w:val="Текст примечания Знак"/>
    <w:basedOn w:val="853"/>
    <w:link w:val="863"/>
    <w:uiPriority w:val="99"/>
    <w:semiHidden/>
    <w:rPr>
      <w:sz w:val="20"/>
      <w:szCs w:val="20"/>
    </w:rPr>
  </w:style>
  <w:style w:type="paragraph" w:styleId="865">
    <w:name w:val="annotation subject"/>
    <w:basedOn w:val="863"/>
    <w:next w:val="863"/>
    <w:link w:val="866"/>
    <w:uiPriority w:val="99"/>
    <w:semiHidden/>
    <w:unhideWhenUsed/>
    <w:rPr>
      <w:b/>
      <w:bCs/>
    </w:rPr>
  </w:style>
  <w:style w:type="character" w:styleId="866" w:customStyle="1">
    <w:name w:val="Тема примечания Знак"/>
    <w:basedOn w:val="864"/>
    <w:link w:val="865"/>
    <w:uiPriority w:val="99"/>
    <w:semiHidden/>
    <w:rPr>
      <w:b/>
      <w:bCs/>
      <w:sz w:val="20"/>
      <w:szCs w:val="20"/>
    </w:rPr>
  </w:style>
  <w:style w:type="paragraph" w:styleId="867">
    <w:name w:val="toc 4"/>
    <w:basedOn w:val="851"/>
    <w:next w:val="851"/>
    <w:link w:val="868"/>
    <w:uiPriority w:val="39"/>
    <w:semiHidden/>
    <w:unhideWhenUsed/>
    <w:pPr>
      <w:ind w:left="660"/>
      <w:spacing w:after="100"/>
    </w:pPr>
  </w:style>
  <w:style w:type="character" w:styleId="868" w:customStyle="1">
    <w:name w:val="Оглавление 4 Знак"/>
    <w:link w:val="867"/>
    <w:uiPriority w:val="3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nspd.gov.ru/construction-nsp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22</cp:revision>
  <dcterms:created xsi:type="dcterms:W3CDTF">2024-10-01T14:30:00Z</dcterms:created>
  <dcterms:modified xsi:type="dcterms:W3CDTF">2025-05-15T12:05:52Z</dcterms:modified>
</cp:coreProperties>
</file>