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</w:pPr>
      <w:r/>
      <w:r/>
    </w:p>
    <w:p>
      <w:pPr>
        <w:pStyle w:val="864"/>
        <w:jc w:val="right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20.05.2025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6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0"/>
        <w:jc w:val="both"/>
        <w:spacing w:before="0" w:after="0" w:line="388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388" w:lineRule="atLeast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«Самозахват» земельного участка: как с ним бороться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388" w:lineRule="atLeast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Одним из самых распространенных видов нарушения земельного законодательства является самовольное занятие земельного участка, так называемый «самозахват».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Поводом для разбирательства обычно становится установка забора не по границе участков, с захватом чужой территории.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Например, гражданин, имеющий в собственности земельный участок, огородил забором помимо своего участка еще и участок земель общего пользования. Это может быть сделано как намеренно, так и случайно - по неосмотрительности. В обоих случаях в действиях гражда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нина будут усматриваться признаки самовольного занятия земельного участка.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Нередко «захватчики» занимают пустующие земли, обосновав это тем, что они никому не принадлежат. Однако земли, не находящиеся в собственности граждан, юридических лиц или муниципальных образований, являются государственной собственностью.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Какие же действия нужно предпринять при «самозахвате» земельного участка?</w:t>
      </w: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первую очередь, если речь идет о нарушении границ сформированного участка, необходимо обратиться к лицу, нарушившему ваши права, с целью урегулирования возникшей ситуации, например, посредством переноса ограждения на свою территорию. В ряде случаев уже 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 первом этапе большинству удается добиться компромисса, но, если мирным путем решить проблему не удалось, нужно действовать в соответствии с требованиями закона.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отсутствии ответных действий и при наличии сведений о самовольном занятии земли необходимо обращаться в органы, осуществляющие государственный земельный надзор за соблюдением требований о недопущении самовольного занятия земель.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Надзор за законностью использования земельных участков как объектов недвижимости на территории Республики Адыгея осуществляет региональное Управление Росреестра.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Кроме того, полномочиями по осуществлению контроля за соблюдением требований земельного законодательства при использовании земельных участков также наделены органы местного самоуправления.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Обратиться с жалобой на самовольный захват земельного участка может владелец участка. Право на владение участком должно быть подтверждено выпиской из Единого государственного реестра недвижимости. Поэтому очень важно своевременно оформлять права на использ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уемые земельные участки, чтобы избежать административной ответственности за самовольное занятие земельных участков или части земельного участка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- отметила руководитель Управления Росреестра по Республике Адыгея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bCs/>
          <w:i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Способы подачи обращений: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cs="Tinos"/>
          <w:bCs/>
          <w:i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bCs/>
          <w:i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</w:rPr>
      </w:r>
    </w:p>
    <w:p>
      <w:pPr>
        <w:pStyle w:val="866"/>
        <w:numPr>
          <w:ilvl w:val="0"/>
          <w:numId w:val="20"/>
        </w:numPr>
        <w:ind w:right="0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путем заполнения специальной формы «</w:t>
      </w:r>
      <w:hyperlink r:id="rId10" w:tooltip="https://rosreestr.gov.ru/eservices/services/tickets/" w:history="1">
        <w:r>
          <w:rPr>
            <w:rStyle w:val="867"/>
            <w:rFonts w:ascii="Tinos" w:hAnsi="Tinos" w:eastAsia="Tinos" w:cs="Tinos"/>
            <w:color w:val="000000"/>
            <w:sz w:val="28"/>
            <w:szCs w:val="28"/>
            <w:u w:val="single"/>
          </w:rPr>
          <w:t xml:space="preserve">Обращения граждан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» на официальном сайте Росреестра;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6"/>
        <w:numPr>
          <w:ilvl w:val="0"/>
          <w:numId w:val="20"/>
        </w:numPr>
        <w:ind w:right="0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 электронном виде через платформу </w:t>
      </w:r>
      <w:hyperlink r:id="rId11" w:tooltip="https://www.gosuslugi.ru/help/obratitsya_v_pos" w:history="1">
        <w:r>
          <w:rPr>
            <w:rStyle w:val="867"/>
            <w:rFonts w:ascii="Tinos" w:hAnsi="Tinos" w:eastAsia="Tinos" w:cs="Tinos"/>
            <w:color w:val="000000"/>
            <w:sz w:val="28"/>
            <w:szCs w:val="28"/>
            <w:u w:val="single"/>
          </w:rPr>
          <w:t xml:space="preserve">«Госуслуги. Решаем вместе»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6"/>
        <w:numPr>
          <w:ilvl w:val="0"/>
          <w:numId w:val="20"/>
        </w:numPr>
        <w:ind w:right="0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через многофункциональный центр оказания государственных и муниципальных услуг; 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pStyle w:val="866"/>
        <w:numPr>
          <w:ilvl w:val="0"/>
          <w:numId w:val="20"/>
        </w:numPr>
        <w:ind w:right="0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 письменном виде по почте 385000, г. Майкоп. ул. Краснооктябрьская, д. 44;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6"/>
        <w:numPr>
          <w:ilvl w:val="0"/>
          <w:numId w:val="20"/>
        </w:numPr>
        <w:ind w:right="0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при личной передаче письменного обращения (г. Майкоп. ул. Краснооктябрьская, д. 44 или по адресам территориальных отделов Управления по рабочим дням с понедельника по четверг с 9-00 до 18-00 и в пятницу с 9-00 до 16-45, обеденный перерыв с 13-00 до 13-45).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Кроме того, лицо, чьи права нарушены, вправе обратиться с иском в суд за защитой и восстановлением нарушенного права (ст. 60 Земельного кодекса РФ). Важно отметить, что в соответствии со ст. 208 Гражданского кодекса РФ споры, связанные с ущемлением прав вл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адения землей, не имеют исковой давности.</w:t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Получить дополнительную информацию заинтересованные лица могут 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елефону: 8 (8772) 55-85-37.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88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907" w:right="851" w:bottom="1134" w:left="241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7335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7335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7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7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859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9">
    <w:name w:val="annotation text"/>
    <w:basedOn w:val="857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59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toc 4"/>
    <w:basedOn w:val="857"/>
    <w:next w:val="857"/>
    <w:link w:val="874"/>
    <w:uiPriority w:val="39"/>
    <w:semiHidden/>
    <w:unhideWhenUsed/>
    <w:pPr>
      <w:ind w:left="660"/>
      <w:spacing w:after="100"/>
    </w:pPr>
  </w:style>
  <w:style w:type="character" w:styleId="874" w:customStyle="1">
    <w:name w:val="Оглавление 4 Знак"/>
    <w:link w:val="873"/>
    <w:uiPriority w:val="39"/>
    <w:semiHidden/>
  </w:style>
  <w:style w:type="paragraph" w:styleId="875" w:customStyle="1">
    <w:name w:val="Нормальный (таблица)"/>
    <w:basedOn w:val="699"/>
    <w:next w:val="699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eservices/services/tickets/" TargetMode="External"/><Relationship Id="rId11" Type="http://schemas.openxmlformats.org/officeDocument/2006/relationships/hyperlink" Target="https://www.gosuslugi.ru/help/obratitsya_v_po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26</cp:revision>
  <dcterms:created xsi:type="dcterms:W3CDTF">2024-10-01T14:30:00Z</dcterms:created>
  <dcterms:modified xsi:type="dcterms:W3CDTF">2025-05-22T07:27:34Z</dcterms:modified>
</cp:coreProperties>
</file>