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</w:t>
      </w:r>
      <w:r/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Open Sans" w:hAnsi="Open Sans" w:eastAsia="Open Sans" w:cs="Open Sans"/>
          <w:color w:val="555555"/>
          <w:sz w:val="21"/>
          <w:szCs w:val="21"/>
          <w:highlight w:val="none"/>
        </w:rPr>
      </w:pPr>
      <w:r>
        <w:rPr>
          <w:rFonts w:ascii="Open Sans" w:hAnsi="Open Sans" w:eastAsia="Open Sans" w:cs="Open Sans"/>
          <w:color w:val="555555"/>
          <w:sz w:val="21"/>
          <w:highlight w:val="none"/>
        </w:rPr>
      </w:r>
      <w:r>
        <w:rPr>
          <w:rFonts w:ascii="Open Sans" w:hAnsi="Open Sans" w:eastAsia="Open Sans" w:cs="Open Sans"/>
          <w:color w:val="555555"/>
          <w:sz w:val="21"/>
          <w:szCs w:val="21"/>
          <w:highlight w:val="none"/>
        </w:rPr>
      </w:r>
      <w:r>
        <w:rPr>
          <w:rFonts w:ascii="Open Sans" w:hAnsi="Open Sans" w:eastAsia="Open Sans" w:cs="Open Sans"/>
          <w:color w:val="555555"/>
          <w:sz w:val="21"/>
          <w:szCs w:val="21"/>
          <w:highlight w:val="none"/>
        </w:rPr>
      </w:r>
    </w:p>
    <w:p>
      <w:pPr>
        <w:pStyle w:val="856"/>
        <w:jc w:val="both"/>
        <w:rPr>
          <w:rFonts w:ascii="Open Sans" w:hAnsi="Open Sans" w:eastAsia="Open Sans" w:cs="Open Sans"/>
          <w:color w:val="555555"/>
          <w:sz w:val="21"/>
          <w:szCs w:val="21"/>
          <w:highlight w:val="none"/>
        </w:rPr>
      </w:pPr>
      <w:r>
        <w:rPr>
          <w:rFonts w:ascii="Open Sans" w:hAnsi="Open Sans" w:eastAsia="Open Sans" w:cs="Open Sans"/>
          <w:color w:val="555555"/>
          <w:sz w:val="21"/>
          <w:szCs w:val="21"/>
          <w:highlight w:val="none"/>
        </w:rPr>
      </w:r>
      <w:r>
        <w:rPr>
          <w:rFonts w:ascii="Open Sans" w:hAnsi="Open Sans" w:eastAsia="Open Sans" w:cs="Open Sans"/>
          <w:color w:val="555555"/>
          <w:sz w:val="21"/>
          <w:szCs w:val="21"/>
          <w:highlight w:val="none"/>
        </w:rPr>
      </w:r>
      <w:r>
        <w:rPr>
          <w:rFonts w:ascii="Open Sans" w:hAnsi="Open Sans" w:eastAsia="Open Sans" w:cs="Open Sans"/>
          <w:color w:val="555555"/>
          <w:sz w:val="21"/>
          <w:szCs w:val="21"/>
          <w:highlight w:val="none"/>
        </w:rPr>
      </w:r>
    </w:p>
    <w:p>
      <w:pPr>
        <w:pStyle w:val="856"/>
        <w:jc w:val="center"/>
        <w:rPr>
          <w:rFonts w:ascii="Tinos" w:hAnsi="Tinos" w:cs="Tinos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u w:val="none"/>
        </w:rPr>
        <w:t xml:space="preserve">Заседание согласительной комиссии по комплексным кадастровым работам провели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 в администрации Майкопского района</w:t>
      </w:r>
      <w:r>
        <w:rPr>
          <w:rFonts w:ascii="Tinos" w:hAnsi="Tinos" w:cs="Tino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56"/>
        <w:jc w:val="both"/>
        <w:rPr>
          <w:rFonts w:ascii="Tinos" w:hAnsi="Tinos" w:cs="Tinos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56"/>
        <w:jc w:val="both"/>
        <w:rPr>
          <w:rFonts w:ascii="Tinos" w:hAnsi="Tinos" w:cs="Tinos"/>
          <w:iCs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iCs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20 мая 2025 года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в зал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 заседаний администрации МО «Майкопский район» состоялось заседание согласительной комиссии по вопросам согласования границ земельных участков при выполнении комплексных кадастровых работ в отношении 19 кварталов расположенных на территории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станицы Даховской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nos" w:hAnsi="Tinos" w:cs="Tinos"/>
          <w:iCs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iCs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50" w:line="71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 w:line="71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заседан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ии приняли участие представители регионального Росреестра и Роскадастра, администрации МО «Майкопский район», Даховского сельского поселения, Комитета Республики Адыгея по имущественным отношениям, МТУ Росимущества в Краснодарском крае и Республике Адыгея.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pStyle w:val="856"/>
        <w:jc w:val="both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Исполнитель филиал ППК «Роскадастр» по Республике Адыгея отчитался о подготовке кадастровых планов территорий в отношении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19 кварталов расположенных на территории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станицы Даховской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и об отсутствии замечаний правообладателей объектов недвижимости расположенных в указанных кварталах.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pStyle w:val="856"/>
        <w:jc w:val="both"/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pP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pStyle w:val="856"/>
        <w:jc w:val="both"/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 настоящее время комплексные кадастровые работы в  проводятся в 2 населенных пунктах Майкопского района Республики Адыгея, идет работа по выявлению и устра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нению замечаний, внесению доработок в полученные данные. Результаты комплексных кадастровых работ будут внесены в Единый государственный реестр недвижимости по окончании сроков, в которые правообладатели объектов недвижимости могут подать замечания по ито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гам работ.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p>
      <w:pPr>
        <w:pStyle w:val="856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856"/>
        <w:jc w:val="both"/>
        <w:rPr>
          <w:rFonts w:ascii="Tinos" w:hAnsi="Tinos" w:eastAsia="Tinos" w:cs="Tinos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«Проведение комплексных кадастровых работ для населения является выигрышным вариантом, так как межевание земельного участка происходит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за счет государственных средств, препятствует возникновению споров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по границам с соседями, а внесение границ земельного участка в реестр недвижимости осуществляется автоматически по завершению ККР. Каждый объект недвижимости должен быть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внесен в ЕГРН с характеристиками, позволяющими определить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его в качестве индивидуально-определенной вещи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, это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позволит собственнику зарегистрировать свое право и получить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юридический акт признания и подтверждения своего права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», – отметил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 секретарь согласительной комиссии Татьяна Золотова.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Open Sans">
    <w:panose1 w:val="020B06060305040202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1"/>
    <w:link w:val="850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49"/>
    <w:next w:val="849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1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49"/>
    <w:next w:val="849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1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49"/>
    <w:next w:val="849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1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49"/>
    <w:next w:val="849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1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49"/>
    <w:next w:val="849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1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49"/>
    <w:next w:val="84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1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49"/>
    <w:next w:val="849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49"/>
    <w:next w:val="849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1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49"/>
    <w:next w:val="84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49"/>
    <w:next w:val="849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49"/>
    <w:next w:val="849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49"/>
    <w:next w:val="849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49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49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1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1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paragraph" w:styleId="850">
    <w:name w:val="Heading 1"/>
    <w:basedOn w:val="849"/>
    <w:next w:val="849"/>
    <w:link w:val="857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>
    <w:name w:val="Balloon Text"/>
    <w:basedOn w:val="849"/>
    <w:link w:val="85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5" w:customStyle="1">
    <w:name w:val="Текст выноски Знак"/>
    <w:basedOn w:val="851"/>
    <w:link w:val="854"/>
    <w:uiPriority w:val="99"/>
    <w:semiHidden/>
    <w:rPr>
      <w:rFonts w:ascii="Segoe UI" w:hAnsi="Segoe UI" w:cs="Segoe UI"/>
      <w:sz w:val="18"/>
      <w:szCs w:val="18"/>
    </w:rPr>
  </w:style>
  <w:style w:type="paragraph" w:styleId="856">
    <w:name w:val="No Spacing"/>
    <w:uiPriority w:val="1"/>
    <w:qFormat/>
    <w:pPr>
      <w:spacing w:after="0" w:line="240" w:lineRule="auto"/>
    </w:pPr>
  </w:style>
  <w:style w:type="character" w:styleId="857" w:customStyle="1">
    <w:name w:val="Заголовок 1 Знак"/>
    <w:basedOn w:val="851"/>
    <w:link w:val="85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8">
    <w:name w:val="List Paragraph"/>
    <w:basedOn w:val="849"/>
    <w:uiPriority w:val="34"/>
    <w:qFormat/>
    <w:pPr>
      <w:contextualSpacing/>
      <w:ind w:left="720"/>
      <w:spacing w:line="256" w:lineRule="auto"/>
    </w:pPr>
  </w:style>
  <w:style w:type="character" w:styleId="859">
    <w:name w:val="Hyperlink"/>
    <w:basedOn w:val="851"/>
    <w:uiPriority w:val="99"/>
    <w:unhideWhenUsed/>
    <w:rPr>
      <w:color w:val="0563c1" w:themeColor="hyperlink"/>
      <w:u w:val="single"/>
    </w:rPr>
  </w:style>
  <w:style w:type="character" w:styleId="860">
    <w:name w:val="annotation reference"/>
    <w:basedOn w:val="851"/>
    <w:uiPriority w:val="99"/>
    <w:semiHidden/>
    <w:unhideWhenUsed/>
    <w:rPr>
      <w:sz w:val="16"/>
      <w:szCs w:val="16"/>
    </w:rPr>
  </w:style>
  <w:style w:type="paragraph" w:styleId="861">
    <w:name w:val="annotation text"/>
    <w:basedOn w:val="849"/>
    <w:link w:val="86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2" w:customStyle="1">
    <w:name w:val="Текст примечания Знак"/>
    <w:basedOn w:val="851"/>
    <w:link w:val="861"/>
    <w:uiPriority w:val="99"/>
    <w:semiHidden/>
    <w:rPr>
      <w:sz w:val="20"/>
      <w:szCs w:val="20"/>
    </w:rPr>
  </w:style>
  <w:style w:type="paragraph" w:styleId="863">
    <w:name w:val="annotation subject"/>
    <w:basedOn w:val="861"/>
    <w:next w:val="861"/>
    <w:link w:val="864"/>
    <w:uiPriority w:val="99"/>
    <w:semiHidden/>
    <w:unhideWhenUsed/>
    <w:rPr>
      <w:b/>
      <w:bCs/>
    </w:rPr>
  </w:style>
  <w:style w:type="character" w:styleId="864" w:customStyle="1">
    <w:name w:val="Тема примечания Знак"/>
    <w:basedOn w:val="862"/>
    <w:link w:val="863"/>
    <w:uiPriority w:val="99"/>
    <w:semiHidden/>
    <w:rPr>
      <w:b/>
      <w:bCs/>
      <w:sz w:val="20"/>
      <w:szCs w:val="20"/>
    </w:rPr>
  </w:style>
  <w:style w:type="table" w:styleId="865">
    <w:name w:val="Table Grid"/>
    <w:basedOn w:val="85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6" w:customStyle="1">
    <w:name w:val="extendedtext-full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14</cp:revision>
  <dcterms:created xsi:type="dcterms:W3CDTF">2024-01-23T07:23:00Z</dcterms:created>
  <dcterms:modified xsi:type="dcterms:W3CDTF">2025-05-21T07:52:32Z</dcterms:modified>
</cp:coreProperties>
</file>