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0"/>
      </w:pPr>
      <w:r/>
      <w:r/>
    </w:p>
    <w:p>
      <w:pPr>
        <w:pStyle w:val="8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22.05.2025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line="240" w:lineRule="auto"/>
        <w:shd w:val="clear" w:color="ffffff" w:fill="ffffff"/>
        <w:rPr>
          <w:rFonts w:ascii="Tinos" w:hAnsi="Tinos" w:cs="Tinos"/>
          <w:b/>
          <w:bCs/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12121"/>
          <w:sz w:val="28"/>
          <w:szCs w:val="28"/>
        </w:rPr>
        <w:t xml:space="preserve">Что такое кадастровая стоимость недвижимости, как ее узнать 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и для чего она необходима</w:t>
      </w:r>
      <w:r>
        <w:rPr>
          <w:rFonts w:ascii="Tinos" w:hAnsi="Tinos" w:cs="Tinos"/>
          <w:b/>
          <w:bCs/>
          <w:color w:val="212121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21212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line="36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nos" w:hAnsi="Tinos" w:cs="Tinos"/>
          <w:sz w:val="28"/>
          <w:szCs w:val="28"/>
        </w:rPr>
        <w:outlineLvl w:val="0"/>
      </w:pPr>
      <w:r>
        <w:rPr>
          <w:rFonts w:ascii="Tinos" w:hAnsi="Tinos" w:eastAsia="Tinos" w:cs="Tinos"/>
          <w:bCs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В рамках рубрики «Вопрос – ответ» Управление Росреестра Республике Адыгея публикует материалы, посвященные разъяснению актуальных вопросов в сфере земли и недвижимости. В нашем следующем материале мы расскажем что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такое кадастровая стоимость и для чего она необходима.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nos" w:hAnsi="Tinos" w:cs="Tinos"/>
          <w:sz w:val="28"/>
          <w:szCs w:val="28"/>
          <w:highlight w:val="none"/>
        </w:rPr>
        <w:outlineLvl w:val="0"/>
      </w:pPr>
      <w:r>
        <w:rPr>
          <w:rFonts w:ascii="Tinos" w:hAnsi="Tinos" w:eastAsia="Tinos" w:cs="Tinos"/>
          <w:bCs/>
          <w:sz w:val="28"/>
          <w:szCs w:val="28"/>
          <w:highlight w:val="none"/>
          <w:lang w:eastAsia="ru-RU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nos" w:hAnsi="Tinos" w:eastAsia="Tinos" w:cs="Tinos"/>
          <w:sz w:val="28"/>
          <w:szCs w:val="28"/>
          <w:highlight w:val="none"/>
          <w:lang w:eastAsia="ru-RU"/>
        </w:rPr>
        <w:outlineLvl w:val="0"/>
      </w:pP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Кадастровая стоимость объекта недвижимости – это пол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ученный на определенную дату результат оценки объекта недвижимости, определяемый на основе ценообразующих факторов в соответствии с федеральным законодательством. То есть кадастровая стоимость – это цена объекта недвижимости, которую определило государство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nos" w:hAnsi="Tinos" w:cs="Tinos"/>
          <w:sz w:val="28"/>
          <w:szCs w:val="28"/>
          <w:highlight w:val="none"/>
        </w:rPr>
        <w:outlineLvl w:val="0"/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nos" w:hAnsi="Tinos" w:eastAsia="Tinos" w:cs="Tinos"/>
          <w:color w:val="292c2f"/>
          <w:sz w:val="28"/>
          <w:szCs w:val="28"/>
          <w:highlight w:val="none"/>
        </w:rPr>
        <w:outlineLvl w:val="0"/>
      </w:pP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Кадастровая стоимость является официальной и необходима для вычисления суммы налога на недвижимость, подсчета суммы налога в случае купли-продажи (аренды, обмена жилья), оформления права наследования на жилье, определения цены при обмене данного объекта на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 эквивалентный, оформления договора дарения на недвижимость.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nos" w:hAnsi="Tinos" w:cs="Tinos"/>
          <w:sz w:val="28"/>
          <w:szCs w:val="28"/>
          <w:highlight w:val="none"/>
        </w:rPr>
        <w:outlineLvl w:val="0"/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nos" w:hAnsi="Tinos" w:eastAsia="Tinos" w:cs="Tinos"/>
          <w:sz w:val="28"/>
          <w:szCs w:val="28"/>
          <w:highlight w:val="none"/>
        </w:rPr>
        <w:outlineLvl w:val="0"/>
      </w:pP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Узнать кадастровую стоимость объекта недвижимости можно с помощью электронных сервисов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 </w:t>
      </w:r>
      <w:hyperlink r:id="rId10" w:tooltip="https://lk.rosreestr.ru/eservices/real-estate-objects-online" w:history="1">
        <w:r>
          <w:rPr>
            <w:rStyle w:val="863"/>
            <w:rFonts w:ascii="Tinos" w:hAnsi="Tinos" w:eastAsia="Tinos" w:cs="Tinos"/>
            <w:bCs/>
            <w:color w:val="auto"/>
            <w:sz w:val="28"/>
            <w:szCs w:val="28"/>
          </w:rPr>
          <w:t xml:space="preserve">«Справочная информация по объектам недвижимости в режиме </w:t>
        </w:r>
        <w:r>
          <w:rPr>
            <w:rStyle w:val="863"/>
            <w:rFonts w:ascii="Tinos" w:hAnsi="Tinos" w:eastAsia="Tinos" w:cs="Tinos"/>
            <w:bCs/>
            <w:color w:val="auto"/>
            <w:sz w:val="28"/>
            <w:szCs w:val="28"/>
          </w:rPr>
          <w:t xml:space="preserve">online</w:t>
        </w:r>
        <w:r>
          <w:rPr>
            <w:rStyle w:val="863"/>
            <w:rFonts w:ascii="Tinos" w:hAnsi="Tinos" w:eastAsia="Tinos" w:cs="Tinos"/>
            <w:bCs/>
            <w:color w:val="auto"/>
            <w:sz w:val="28"/>
            <w:szCs w:val="28"/>
          </w:rPr>
          <w:t xml:space="preserve">»</w:t>
        </w:r>
      </w:hyperlink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 «</w:t>
      </w:r>
      <w:r>
        <w:rPr>
          <w:rFonts w:ascii="Tinos" w:hAnsi="Tinos" w:eastAsia="Tinos" w:cs="Tinos"/>
          <w:bCs/>
          <w:sz w:val="28"/>
          <w:szCs w:val="28"/>
        </w:rPr>
        <w:t xml:space="preserve">Публичная кадастровая карта»</w:t>
      </w:r>
      <w:r>
        <w:rPr>
          <w:rFonts w:ascii="Tinos" w:hAnsi="Tinos" w:eastAsia="Tinos" w:cs="Tinos"/>
          <w:bCs/>
          <w:sz w:val="28"/>
          <w:szCs w:val="28"/>
        </w:rPr>
        <w:t xml:space="preserve">, </w:t>
      </w:r>
      <w:hyperlink r:id="rId11" w:tooltip="https://rosreestr.gov.ru/wps/portal/cc_ib_svedFDGKO" w:history="1">
        <w:r>
          <w:rPr>
            <w:rStyle w:val="863"/>
            <w:rFonts w:ascii="Tinos" w:hAnsi="Tinos" w:eastAsia="Tinos" w:cs="Tinos"/>
            <w:bCs/>
            <w:color w:val="auto"/>
            <w:sz w:val="28"/>
            <w:szCs w:val="28"/>
          </w:rPr>
          <w:t xml:space="preserve">«Получение сведений из Фонда данных государственной кадастровой оценки»</w:t>
        </w:r>
      </w:hyperlink>
      <w:r>
        <w:rPr>
          <w:rFonts w:ascii="Tinos" w:hAnsi="Tinos" w:eastAsia="Tinos" w:cs="Tinos"/>
          <w:bCs/>
          <w:sz w:val="28"/>
          <w:szCs w:val="28"/>
        </w:rPr>
        <w:t xml:space="preserve">, или уточнить в </w:t>
      </w:r>
      <w:hyperlink r:id="rId12" w:tooltip="https://www.nalog.gov.ru/" w:history="1">
        <w:r>
          <w:rPr>
            <w:rStyle w:val="863"/>
            <w:rFonts w:ascii="Tinos" w:hAnsi="Tinos" w:eastAsia="Tinos" w:cs="Tinos"/>
            <w:bCs/>
            <w:color w:val="auto"/>
            <w:sz w:val="28"/>
            <w:szCs w:val="28"/>
          </w:rPr>
          <w:t xml:space="preserve">личном кабинете на сайте ФНС России</w:t>
        </w:r>
      </w:hyperlink>
      <w:r>
        <w:rPr>
          <w:rFonts w:ascii="Tinos" w:hAnsi="Tinos" w:eastAsia="Tinos" w:cs="Tinos"/>
          <w:bCs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Кадастровая стоимость отличается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от иных видов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стоимостей,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прежде всего тем,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что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процесс оценки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происходит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в массовом порядке, а не для индивидуальных объектов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. Оценке подлежат все объекты недвижимости сведения о которых содержатся в Едином государственном реестре недвижимости на 1 января года проведения оценочных работ.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pacing w:after="0" w:line="360" w:lineRule="auto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  <w:t xml:space="preserve">На территории республики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кадастровую стоимость объектов недвижимости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на постоянной основе определяет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  <w:t xml:space="preserve">Государственное бюджетное учреждение Республики Адыгея «Адыгейский республиканский центр государственной кадастровой оценки»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  <w:t xml:space="preserve"> (ГБУ).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На ГБУ также возложены функции по предоставлению разъяснений по определенной кадастровой стоимости, по сбору, обработке, систематизации и накоплению сведений об объектах недвижимости.</w:t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nos" w:hAnsi="Tinos" w:eastAsia="Tinos" w:cs="Tinos"/>
          <w:sz w:val="28"/>
          <w:szCs w:val="28"/>
          <w:lang w:eastAsia="ru-RU"/>
        </w:rPr>
        <w:outlineLvl w:val="0"/>
      </w:pP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Очередная государственная кадастровая оценка объекта недвижимости проводится раз в четыре года. 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Она учитывает такие показатели, как расположение, размер, назначение и возраст объектов. Кадастровую стоимость формируют без осмотра объектов недвижимости.</w:t>
      </w: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eastAsia="Tinos" w:cs="Tinos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nos" w:hAnsi="Tinos" w:cs="Tinos"/>
          <w:sz w:val="28"/>
          <w:szCs w:val="28"/>
          <w:highlight w:val="none"/>
        </w:rPr>
        <w:outlineLvl w:val="0"/>
      </w:pPr>
      <w:r>
        <w:rPr>
          <w:rFonts w:ascii="Tinos" w:hAnsi="Tinos" w:eastAsia="Tinos" w:cs="Tinos"/>
          <w:bCs/>
          <w:sz w:val="28"/>
          <w:szCs w:val="28"/>
          <w:highlight w:val="none"/>
          <w:lang w:eastAsia="ru-RU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nos" w:hAnsi="Tinos" w:eastAsia="Tinos" w:cs="Tinos"/>
          <w:sz w:val="28"/>
          <w:szCs w:val="28"/>
          <w:highlight w:val="none"/>
          <w:lang w:eastAsia="ru-RU"/>
        </w:rPr>
        <w:outlineLvl w:val="0"/>
      </w:pPr>
      <w:r>
        <w:rPr>
          <w:rFonts w:ascii="Tinos" w:hAnsi="Tinos" w:eastAsia="Tinos" w:cs="Tinos"/>
          <w:bCs/>
          <w:sz w:val="28"/>
          <w:szCs w:val="28"/>
          <w:highlight w:val="none"/>
          <w:lang w:eastAsia="ru-RU"/>
        </w:rPr>
        <w:t xml:space="preserve">В Российской Федерации определены единые для всех субъектов </w:t>
      </w:r>
      <w:r>
        <w:rPr>
          <w:rFonts w:ascii="Tinos" w:hAnsi="Tinos" w:eastAsia="Tinos" w:cs="Tinos"/>
          <w:bCs/>
          <w:sz w:val="28"/>
          <w:szCs w:val="28"/>
          <w:highlight w:val="none"/>
          <w:lang w:eastAsia="ru-RU"/>
        </w:rPr>
        <w:t xml:space="preserve">периоды кадастровой оценки</w:t>
      </w:r>
      <w:r>
        <w:rPr>
          <w:rFonts w:ascii="Tinos" w:hAnsi="Tinos" w:eastAsia="Tinos" w:cs="Tinos"/>
          <w:bCs/>
          <w:sz w:val="28"/>
          <w:szCs w:val="28"/>
          <w:highlight w:val="none"/>
          <w:lang w:eastAsia="ru-RU"/>
        </w:rPr>
        <w:t xml:space="preserve">. Так в 2026 году будет проведен очередной тур государственной кадастровой оценки земельных участков, а в 2027 году – всех объектов капитального строительства. </w:t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nos" w:hAnsi="Tinos" w:cs="Tinos"/>
          <w:sz w:val="28"/>
          <w:szCs w:val="28"/>
        </w:rPr>
        <w:outlineLvl w:val="0"/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48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line="71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12121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alloon Text"/>
    <w:basedOn w:val="8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5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character" w:styleId="861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List Paragraph"/>
    <w:basedOn w:val="853"/>
    <w:uiPriority w:val="34"/>
    <w:qFormat/>
    <w:pPr>
      <w:contextualSpacing/>
      <w:ind w:left="720"/>
      <w:spacing w:line="256" w:lineRule="auto"/>
    </w:pPr>
  </w:style>
  <w:style w:type="character" w:styleId="863">
    <w:name w:val="Hyperlink"/>
    <w:basedOn w:val="855"/>
    <w:uiPriority w:val="99"/>
    <w:unhideWhenUsed/>
    <w:rPr>
      <w:color w:val="0563c1" w:themeColor="hyperlink"/>
      <w:u w:val="single"/>
    </w:rPr>
  </w:style>
  <w:style w:type="character" w:styleId="86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5">
    <w:name w:val="annotation text"/>
    <w:basedOn w:val="853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55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paragraph" w:styleId="869">
    <w:name w:val="toc 4"/>
    <w:basedOn w:val="853"/>
    <w:next w:val="853"/>
    <w:link w:val="870"/>
    <w:uiPriority w:val="39"/>
    <w:semiHidden/>
    <w:unhideWhenUsed/>
    <w:pPr>
      <w:ind w:left="660"/>
      <w:spacing w:after="100"/>
    </w:pPr>
  </w:style>
  <w:style w:type="character" w:styleId="870" w:customStyle="1">
    <w:name w:val="Оглавление 4 Знак"/>
    <w:link w:val="869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k.rosreestr.ru/eservices/real-estate-objects-online" TargetMode="External"/><Relationship Id="rId11" Type="http://schemas.openxmlformats.org/officeDocument/2006/relationships/hyperlink" Target="https://rosreestr.gov.ru/wps/portal/cc_ib_svedFDGKO" TargetMode="External"/><Relationship Id="rId12" Type="http://schemas.openxmlformats.org/officeDocument/2006/relationships/hyperlink" Target="https://www.nalog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25</cp:revision>
  <dcterms:created xsi:type="dcterms:W3CDTF">2024-10-01T14:30:00Z</dcterms:created>
  <dcterms:modified xsi:type="dcterms:W3CDTF">2025-05-23T11:53:13Z</dcterms:modified>
</cp:coreProperties>
</file>