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0"/>
        <w:ind w:left="0" w:right="0" w:firstLine="0"/>
        <w:jc w:val="center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pacing w:val="1"/>
          <w:sz w:val="28"/>
          <w:szCs w:val="28"/>
        </w:rPr>
        <w:t xml:space="preserve">Узнать об аварийности дома накануне приобретения жилья можно в выписке из ЕГРН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Отметки о признании многоквартирного дома аварийным и подлежащим сносу или реконструкции или о признании жилого дома непригодным для проживания внесены в Единый государственный реестр недвижимости (ЕГРН) в отношении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1358 </w:t>
      </w: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объектов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Работа по внесению ЕГРН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сведений об аварийности жилых объектов, признанных таковыми на территории республики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, проводится Управлением Росреестра по Республике Адыгея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совместно с органами местного самоуправления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 1 февраля 2022 года, когда вс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тупил в силу Федеральный закон от 26 мая 2021 года № 148-ФЗ «О внесении изменений в Федеральный закон «О государственной регистрации недвижимости». 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Согласно документу, выписка из реестра недвижимости должна содержать особую отметку, предста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вленную сведениями о признании многоквартирного дома аварийным и подлежащим сносу или реконструкции, а также сведениями о признании жилья непригодным для проживания.</w:t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none"/>
        </w:rPr>
        <w:t xml:space="preserve">«Э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та информация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252628"/>
          <w:sz w:val="28"/>
          <w:szCs w:val="28"/>
          <w:highlight w:val="none"/>
        </w:rPr>
        <w:t xml:space="preserve">позволяет обезопасить граждан от покупки непригодного жилья, обеспечить актуальность данных ЕГРН, а также ускоряет и делает проще проверку недвижимости при проведении сделок</w:t>
      </w:r>
      <w:r>
        <w:rPr>
          <w:rFonts w:ascii="Liberation Sans" w:hAnsi="Liberation Sans" w:eastAsia="Liberation Sans" w:cs="Liberation Sans"/>
          <w:color w:val="252628"/>
          <w:sz w:val="27"/>
          <w:highlight w:val="none"/>
        </w:rPr>
        <w:t xml:space="preserve">»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- отметила руководитель Управления Росреестра по Республике Адыгея </w:t>
      </w:r>
      <w:r>
        <w:rPr>
          <w:rFonts w:ascii="Tinos" w:hAnsi="Tinos" w:eastAsia="Tinos" w:cs="Tinos"/>
          <w:b/>
          <w:color w:val="000000" w:themeColor="text1"/>
          <w:sz w:val="28"/>
          <w:szCs w:val="28"/>
          <w:highlight w:val="white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Таким образом, приобретая недвижимость, человек может запросить  выписку из ЕГРН об объекте недвижимости или выписку из ЕГРН об основных характеристиках и зарегистрированных правах, и оперативно узнать о состоянии дома, не планируется ли его снос в ближа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йшее время.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Подать запрос о предоставлении сведений из ЕГРН можно лично, обратившись в офисы МФЦ, 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в электронном виде с помощью </w:t>
      </w:r>
      <w:hyperlink r:id="rId10" w:tooltip="https://gosuslugi.ru" w:history="1">
        <w:r>
          <w:rPr>
            <w:rStyle w:val="860"/>
            <w:rFonts w:ascii="Tinos" w:hAnsi="Tinos" w:eastAsia="Tinos" w:cs="Tinos"/>
            <w:bCs/>
            <w:color w:val="000000" w:themeColor="text1"/>
            <w:sz w:val="28"/>
            <w:szCs w:val="28"/>
          </w:rPr>
          <w:t xml:space="preserve">портала госуслуг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Open Sans" w:hAnsi="Open Sans" w:eastAsia="Open Sans" w:cs="Open Sans"/>
          <w:color w:val="623b2a"/>
          <w:sz w:val="24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Сведения из реестра недвижимости предоставляются в срок не более трех рабочих дней.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 словам Главы Адыгеи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hyperlink r:id="rId11" w:tooltip="https://t.me/muratkumpilov/14762" w:history="1">
        <w:r>
          <w:rPr>
            <w:rStyle w:val="860"/>
            <w:rFonts w:ascii="Tinos" w:hAnsi="Tinos" w:eastAsia="Tinos" w:cs="Tinos"/>
            <w:color w:val="000000" w:themeColor="text1"/>
            <w:sz w:val="28"/>
            <w:szCs w:val="28"/>
            <w:highlight w:val="none"/>
          </w:rPr>
          <w:t xml:space="preserve">Мурата Кумпилова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в регионе ведется большая работа по обеспечению жильем в рамках социальных программ.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 2025-2030 годы за счёт средств Фонда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развития территорий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будут расселены 7,5 тыс. кв. метров аварийного жилья. Кроме того, за счёт республиканской казны планируется за ближайшие три года расселить ещё около 4 тыс. кв. метров.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0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2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2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2"/>
    <w:link w:val="700"/>
    <w:uiPriority w:val="99"/>
  </w:style>
  <w:style w:type="paragraph" w:styleId="702">
    <w:name w:val="Footer"/>
    <w:basedOn w:val="849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2"/>
    <w:link w:val="702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2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2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1">
    <w:name w:val="Heading 2"/>
    <w:basedOn w:val="849"/>
    <w:next w:val="849"/>
    <w:link w:val="86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49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49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paragraph" w:styleId="866">
    <w:name w:val="Normal (Web)"/>
    <w:basedOn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Заголовок 2 Знак"/>
    <w:basedOn w:val="852"/>
    <w:link w:val="85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8">
    <w:name w:val="Strong"/>
    <w:basedOn w:val="852"/>
    <w:uiPriority w:val="22"/>
    <w:qFormat/>
    <w:rPr>
      <w:b/>
      <w:bCs/>
    </w:rPr>
  </w:style>
  <w:style w:type="character" w:styleId="869">
    <w:name w:val="Emphasis"/>
    <w:basedOn w:val="85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gosuslugi.ru" TargetMode="External"/><Relationship Id="rId11" Type="http://schemas.openxmlformats.org/officeDocument/2006/relationships/hyperlink" Target="https://t.me/muratkumpilov/147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18</cp:revision>
  <dcterms:created xsi:type="dcterms:W3CDTF">2024-02-05T13:44:00Z</dcterms:created>
  <dcterms:modified xsi:type="dcterms:W3CDTF">2025-05-27T06:39:39Z</dcterms:modified>
</cp:coreProperties>
</file>