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0"/>
      </w:pPr>
      <w:r/>
      <w:r/>
    </w:p>
    <w:p>
      <w:pPr>
        <w:pStyle w:val="87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26.05.2025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4"/>
        <w:ind w:left="0" w:right="0" w:firstLine="0"/>
        <w:jc w:val="center"/>
        <w:spacing w:before="0" w:after="540" w:line="77" w:lineRule="atLeast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pStyle w:val="864"/>
        <w:ind w:left="0" w:right="0" w:firstLine="0"/>
        <w:jc w:val="center"/>
        <w:spacing w:before="0" w:after="540" w:line="240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Утвержден перечень мероприятий, необходимых для освоения земельного участка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before="100" w:beforeAutospacing="1" w:after="100" w:afterAutospacing="1" w:line="24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Правительством Российской Федерации утвержден перечень мероприятий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по приведению земельных участков в состояние, пригодное для их использования по целевому назначению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(Распоряжение Правительства РФ №1021-р от 24 апреля 2025 г.)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jc w:val="both"/>
        <w:spacing w:before="100" w:beforeAutospacing="1" w:after="100" w:afterAutospacing="1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Документ разработан в рамках реализации Федерального закона № 307-ФЗ, который вступил в силу с 1 марта 2025 года и определяет трёхлетний срок для освоения земельных участков, расположенных в границах населённых пунктов, садовых и огородных земельных участк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ов.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jc w:val="both"/>
        <w:spacing w:before="100" w:beforeAutospacing="1" w:after="100" w:afterAutospacing="1" w:line="240" w:lineRule="auto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По новым правилам, правообладатели земельных участков, использование которых сразу после приобретения прав невозможно, должны приступить к их использованию после проведения мероприятий по освоению. 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jc w:val="both"/>
        <w:spacing w:before="100" w:beforeAutospacing="1" w:after="100" w:afterAutospacing="1" w:line="24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К таким мероприятия относятся: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2"/>
        <w:numPr>
          <w:ilvl w:val="0"/>
          <w:numId w:val="18"/>
        </w:numPr>
        <w:ind w:right="0"/>
        <w:jc w:val="both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освобождение земельного участка от препятствующих использованию земельного участка по целевому назначению и в соответствии  с разрешенным использованием деревьев, кустарников, а также сорных растений;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pStyle w:val="872"/>
        <w:numPr>
          <w:ilvl w:val="0"/>
          <w:numId w:val="18"/>
        </w:numPr>
        <w:ind w:right="0"/>
        <w:jc w:val="both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освобождение земельного участка от предметов, не связанных с его использованием и нахождение которых привело к его захламлению;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pStyle w:val="872"/>
        <w:numPr>
          <w:ilvl w:val="0"/>
          <w:numId w:val="18"/>
        </w:numPr>
        <w:ind w:right="0"/>
        <w:jc w:val="both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освобождение земельного участка от отходов производства и потребления, в том числе твердых коммунальных отходов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;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pStyle w:val="872"/>
        <w:numPr>
          <w:ilvl w:val="0"/>
          <w:numId w:val="18"/>
        </w:numPr>
        <w:ind w:right="0"/>
        <w:jc w:val="both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осушение или увлажнение земельного участка, если это необходимо для использования земельного участка по целевому назначению и в соответствии с разрешенным использованием земельного участка;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pStyle w:val="872"/>
        <w:numPr>
          <w:ilvl w:val="0"/>
          <w:numId w:val="18"/>
        </w:numPr>
        <w:ind w:right="0"/>
        <w:jc w:val="both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рекультивация земель;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pStyle w:val="872"/>
        <w:numPr>
          <w:ilvl w:val="0"/>
          <w:numId w:val="18"/>
        </w:numPr>
        <w:ind w:right="0"/>
        <w:jc w:val="both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производство работ, необходимых для использования земельного участка по целевому назначению и в соответствии с разрешенным использованием:  разработка грунта; уплотнение и укрепление грунта; вертикальная планировка участка;  перемещение грунта; устройств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 насыпей, разработка выемок; снятие и хранение плодородного слоя почвы.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Правообладатель земельного участка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по своему выбору может выполнить одно или несколько мероприятий, предусмотренных  </w:t>
      </w:r>
      <w:hyperlink r:id="rId10" w:tooltip="https://internet.garant.ru/#/document/411933416/entry/1000" w:history="1">
        <w:r>
          <w:rPr>
            <w:rFonts w:ascii="Tinos" w:hAnsi="Tinos" w:eastAsia="Tinos" w:cs="Tinos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перечнем</w:t>
        </w:r>
      </w:hyperlink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jc w:val="both"/>
        <w:spacing w:before="100" w:beforeAutospacing="1" w:after="100" w:afterAutospacing="1" w:line="240" w:lineRule="auto"/>
        <w:rPr>
          <w:rFonts w:ascii="Tinos" w:hAnsi="Tinos" w:cs="Tinos"/>
          <w:bCs/>
          <w:i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nos" w:hAnsi="Tinos" w:eastAsia="Tinos" w:cs="Tinos"/>
          <w:i/>
          <w:color w:val="000000" w:themeColor="text1"/>
          <w:sz w:val="28"/>
          <w:szCs w:val="28"/>
          <w:highlight w:val="white"/>
        </w:rPr>
        <w:t xml:space="preserve">акрепление такого перечня на законодательном уровне </w:t>
      </w:r>
      <w:r>
        <w:rPr>
          <w:rFonts w:ascii="Tinos" w:hAnsi="Tinos" w:eastAsia="Tinos" w:cs="Tinos"/>
          <w:i/>
          <w:color w:val="000000" w:themeColor="text1"/>
          <w:sz w:val="28"/>
          <w:szCs w:val="28"/>
          <w:highlight w:val="white"/>
        </w:rPr>
        <w:t xml:space="preserve">позволит </w:t>
      </w:r>
      <w:r>
        <w:rPr>
          <w:rFonts w:ascii="Tinos" w:hAnsi="Tinos" w:eastAsia="Tinos" w:cs="Tinos"/>
          <w:i/>
          <w:color w:val="000000" w:themeColor="text1"/>
          <w:sz w:val="28"/>
          <w:szCs w:val="28"/>
          <w:highlight w:val="white"/>
        </w:rPr>
        <w:t xml:space="preserve">минимизировать количество заброшенных и захламлённых территорий, а также стимулировать граждан в участии в жизни садоводческих и огороднических товариществ</w:t>
      </w:r>
      <w:r>
        <w:rPr>
          <w:rFonts w:ascii="Tinos" w:hAnsi="Tinos" w:eastAsia="Tinos" w:cs="Tinos"/>
          <w:i/>
          <w:color w:val="000000" w:themeColor="text1"/>
          <w:sz w:val="28"/>
          <w:szCs w:val="28"/>
          <w:highlight w:val="none"/>
        </w:rPr>
        <w:t xml:space="preserve">», – отметил заместитель руководителя Управления Росреестра по Республике Адыгея </w:t>
      </w:r>
      <w:r>
        <w:rPr>
          <w:rFonts w:ascii="Tinos" w:hAnsi="Tinos" w:eastAsia="Tinos" w:cs="Tinos"/>
          <w:b/>
          <w:bCs/>
          <w:i/>
          <w:color w:val="000000" w:themeColor="text1"/>
          <w:sz w:val="28"/>
          <w:szCs w:val="28"/>
          <w:highlight w:val="none"/>
        </w:rPr>
        <w:t xml:space="preserve">Эдуард Куиз</w:t>
      </w:r>
      <w:r>
        <w:rPr>
          <w:rFonts w:ascii="Tinos" w:hAnsi="Tinos" w:eastAsia="Tinos" w:cs="Tinos"/>
          <w:i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907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  <w:color w:val="auto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  <w:color w:val="auto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5"/>
    <w:link w:val="864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3"/>
    <w:next w:val="863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5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5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5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5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5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3"/>
    <w:next w:val="863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3"/>
    <w:next w:val="863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5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863"/>
    <w:next w:val="863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5"/>
    <w:link w:val="707"/>
    <w:uiPriority w:val="10"/>
    <w:rPr>
      <w:sz w:val="48"/>
      <w:szCs w:val="48"/>
    </w:rPr>
  </w:style>
  <w:style w:type="paragraph" w:styleId="709">
    <w:name w:val="Subtitle"/>
    <w:basedOn w:val="863"/>
    <w:next w:val="863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5"/>
    <w:link w:val="709"/>
    <w:uiPriority w:val="11"/>
    <w:rPr>
      <w:sz w:val="24"/>
      <w:szCs w:val="24"/>
    </w:rPr>
  </w:style>
  <w:style w:type="paragraph" w:styleId="711">
    <w:name w:val="Quote"/>
    <w:basedOn w:val="863"/>
    <w:next w:val="863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3"/>
    <w:next w:val="863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3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basedOn w:val="865"/>
    <w:link w:val="715"/>
    <w:uiPriority w:val="99"/>
  </w:style>
  <w:style w:type="paragraph" w:styleId="717">
    <w:name w:val="Footer"/>
    <w:basedOn w:val="863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basedOn w:val="865"/>
    <w:link w:val="717"/>
    <w:uiPriority w:val="99"/>
  </w:style>
  <w:style w:type="paragraph" w:styleId="719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717"/>
    <w:uiPriority w:val="99"/>
  </w:style>
  <w:style w:type="table" w:styleId="721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>
    <w:name w:val="footnote text"/>
    <w:basedOn w:val="863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3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paragraph" w:styleId="864">
    <w:name w:val="Heading 1"/>
    <w:basedOn w:val="863"/>
    <w:next w:val="863"/>
    <w:link w:val="871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Balloon Text"/>
    <w:basedOn w:val="863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865"/>
    <w:link w:val="868"/>
    <w:uiPriority w:val="99"/>
    <w:semiHidden/>
    <w:rPr>
      <w:rFonts w:ascii="Segoe UI" w:hAnsi="Segoe UI" w:cs="Segoe UI"/>
      <w:sz w:val="18"/>
      <w:szCs w:val="18"/>
    </w:rPr>
  </w:style>
  <w:style w:type="paragraph" w:styleId="870">
    <w:name w:val="No Spacing"/>
    <w:uiPriority w:val="1"/>
    <w:qFormat/>
    <w:pPr>
      <w:spacing w:after="0" w:line="240" w:lineRule="auto"/>
    </w:pPr>
  </w:style>
  <w:style w:type="character" w:styleId="871" w:customStyle="1">
    <w:name w:val="Заголовок 1 Знак"/>
    <w:basedOn w:val="865"/>
    <w:link w:val="86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2">
    <w:name w:val="List Paragraph"/>
    <w:basedOn w:val="863"/>
    <w:uiPriority w:val="34"/>
    <w:qFormat/>
    <w:pPr>
      <w:contextualSpacing/>
      <w:ind w:left="720"/>
      <w:spacing w:line="256" w:lineRule="auto"/>
    </w:pPr>
  </w:style>
  <w:style w:type="character" w:styleId="873">
    <w:name w:val="Hyperlink"/>
    <w:basedOn w:val="865"/>
    <w:uiPriority w:val="99"/>
    <w:unhideWhenUsed/>
    <w:rPr>
      <w:color w:val="0563c1" w:themeColor="hyperlink"/>
      <w:u w:val="single"/>
    </w:rPr>
  </w:style>
  <w:style w:type="character" w:styleId="874">
    <w:name w:val="annotation reference"/>
    <w:basedOn w:val="865"/>
    <w:uiPriority w:val="99"/>
    <w:semiHidden/>
    <w:unhideWhenUsed/>
    <w:rPr>
      <w:sz w:val="16"/>
      <w:szCs w:val="16"/>
    </w:rPr>
  </w:style>
  <w:style w:type="paragraph" w:styleId="875">
    <w:name w:val="annotation text"/>
    <w:basedOn w:val="863"/>
    <w:link w:val="8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6" w:customStyle="1">
    <w:name w:val="Текст примечания Знак"/>
    <w:basedOn w:val="865"/>
    <w:link w:val="875"/>
    <w:uiPriority w:val="99"/>
    <w:semiHidden/>
    <w:rPr>
      <w:sz w:val="20"/>
      <w:szCs w:val="20"/>
    </w:rPr>
  </w:style>
  <w:style w:type="paragraph" w:styleId="877">
    <w:name w:val="annotation subject"/>
    <w:basedOn w:val="875"/>
    <w:next w:val="875"/>
    <w:link w:val="878"/>
    <w:uiPriority w:val="99"/>
    <w:semiHidden/>
    <w:unhideWhenUsed/>
    <w:rPr>
      <w:b/>
      <w:bCs/>
    </w:rPr>
  </w:style>
  <w:style w:type="character" w:styleId="878" w:customStyle="1">
    <w:name w:val="Тема примечания Знак"/>
    <w:basedOn w:val="876"/>
    <w:link w:val="877"/>
    <w:uiPriority w:val="99"/>
    <w:semiHidden/>
    <w:rPr>
      <w:b/>
      <w:bCs/>
      <w:sz w:val="20"/>
      <w:szCs w:val="20"/>
    </w:rPr>
  </w:style>
  <w:style w:type="paragraph" w:styleId="879">
    <w:name w:val="toc 4"/>
    <w:basedOn w:val="863"/>
    <w:next w:val="863"/>
    <w:link w:val="880"/>
    <w:uiPriority w:val="39"/>
    <w:semiHidden/>
    <w:unhideWhenUsed/>
    <w:pPr>
      <w:ind w:left="660"/>
      <w:spacing w:after="100"/>
    </w:pPr>
  </w:style>
  <w:style w:type="character" w:styleId="880" w:customStyle="1">
    <w:name w:val="Оглавление 4 Знак"/>
    <w:link w:val="879"/>
    <w:uiPriority w:val="39"/>
    <w:semiHidden/>
  </w:style>
  <w:style w:type="paragraph" w:styleId="881" w:customStyle="1">
    <w:name w:val="Обычный (веб)"/>
    <w:basedOn w:val="697"/>
    <w:next w:val="703"/>
    <w:link w:val="69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internet.garant.ru/#/document/411933416/entry/10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revision>18</cp:revision>
  <dcterms:created xsi:type="dcterms:W3CDTF">2024-10-01T14:30:00Z</dcterms:created>
  <dcterms:modified xsi:type="dcterms:W3CDTF">2025-05-26T07:05:49Z</dcterms:modified>
</cp:coreProperties>
</file>