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after="0" w:line="100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Росреестр Адыгеи отвечает на вопросы граждан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center"/>
        <w:spacing w:before="240" w:after="0" w:line="384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В рубрике «Спрашивали-отвечаем» эксперты Управления Росреестра по Республике Адыгея отвечают на вопросы граждан, связанные с оформлением недвижимости.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color w:val="292c2f"/>
          <w:sz w:val="28"/>
          <w:szCs w:val="28"/>
        </w:rPr>
        <w:t xml:space="preserve">Я являюсь собственником дома и земельного участка в садоводстве. Участок стоит на кадастровом учете, но межевание не проводилось. Объясните, пожалуйста, надо ли мне делать межевание, или можно подождать?</w:t>
        <w:br/>
      </w:r>
      <w:r>
        <w:rPr>
          <w:rFonts w:ascii="Tinos" w:hAnsi="Tinos" w:eastAsia="Tinos" w:cs="Tinos"/>
          <w:color w:val="292c2f"/>
          <w:sz w:val="28"/>
          <w:szCs w:val="28"/>
        </w:rPr>
        <w:t xml:space="preserve"> </w:t>
        <w:br/>
        <w:t xml:space="preserve">С 1 марта 2025 года вступили в силу изменения в статью 26 Закона о регистрации недвижимости, согласно которым регистрационные действия в отношении земельного участка не смогут быть выполнены, если в Едином государственном реестре недвижимости отсутствуют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сведения о местоположении его границ.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Также нельзя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color w:val="292c2f"/>
          <w:sz w:val="28"/>
          <w:szCs w:val="28"/>
        </w:rPr>
        <w:t xml:space="preserve"> То есть, без проведения межевания нельзя продать земельный участок, при этом никаких ограничений на пользование земельным участком не накладывается.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color w:val="292c2f"/>
          <w:sz w:val="28"/>
          <w:szCs w:val="28"/>
        </w:rPr>
        <w:t xml:space="preserve">Снесли старый дом, но за него продолжает приходить налог. Как нам быть?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В случае полного разрушения жилого дома  необходимо снять объект недвижимости с кадастрового учета и прекратить  право собственности на него. Это можно сделать, подав заявление в МФЦ. К заявлению должен быть приложен  акт обследования, подготовленный кадас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тровым инженером. Это документ, подтверждающий прекращение существования здания в связи с уничтожением.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color w:val="292c2f"/>
          <w:sz w:val="28"/>
          <w:szCs w:val="28"/>
        </w:rPr>
        <w:t xml:space="preserve">Можно ли оформить договор дарения недвижимости без нотариуса?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 13 января 2025 года договор дарения недвижимости между физлицами должен удостоверять нотариус.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Нотариус должен убедиться, что даритель и одаряемый действуют добровольно, проверить дееспособность сторон, отсутствие обременений на объект недвижимости и иные юридические особенности сделки, а также разъяснить последствия заключения договора дарения. Зат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ем нотариус направит документы в Росреестр в электронном виде, чтобы зарегистрировать переход права собственности на объект.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color w:val="292c2f"/>
          <w:sz w:val="28"/>
          <w:szCs w:val="28"/>
        </w:rPr>
        <w:t xml:space="preserve">Как узнать о наличии охранных зон на своем участке?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Узнать об ограничениях земельного участка можно, запросив Выписку  из  ЕГРН  об объекте недвижимости, в которой будут отражены  сведения об актуальных ограничениях объекта недвижимости, в том числе вид  и основания установления охранной зоны.</w:t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18</cp:revision>
  <dcterms:created xsi:type="dcterms:W3CDTF">2024-10-01T14:30:00Z</dcterms:created>
  <dcterms:modified xsi:type="dcterms:W3CDTF">2025-06-04T06:01:59Z</dcterms:modified>
</cp:coreProperties>
</file>