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10.06.2025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Президент России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 подписал </w:t>
      </w:r>
      <w:r>
        <w:rPr>
          <w:rFonts w:ascii="Tinos" w:hAnsi="Tinos" w:eastAsia="Tinos" w:cs="Tinos"/>
          <w:b/>
          <w:bCs/>
          <w:color w:val="3d4146"/>
          <w:sz w:val="28"/>
          <w:szCs w:val="28"/>
        </w:rPr>
        <w:t xml:space="preserve">закон Росреестра о защите электронных сделок с помощью биометрических данных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Президент России Владимир Путин подписал разработанный Росреестром закон, предлагающий новую меру по защите электронных сделок от мошенничества. Изменения позволят гражданам использовать Единую биометрическую систему (ЕБС) для п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одачи документов на регистрацию объектов недвижимости в режиме онлайн.</w:t>
      </w:r>
      <w:r>
        <w:rPr>
          <w:rFonts w:ascii="Tinos" w:hAnsi="Tinos" w:eastAsia="Tinos" w:cs="Tinos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Сегодня уже предусмотрена мера по обеспечению безопасности электронных сделок - установлено обязательное письменное согласие собственника на регистрацию права собственности на основании документов, подготовленных в электронном виде. С учётом такого разреш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ения в ЕГРН делается отметка о возможности регистрации электронных документов, подписанных усиленной квалифицированной электронной подписью (УКЭП).</w:t>
      </w:r>
      <w:r>
        <w:rPr>
          <w:rFonts w:ascii="Tinos" w:hAnsi="Tinos" w:eastAsia="Tinos" w:cs="Tinos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В свою очередь, ЕБС позволит установить и подтвердить личность с использованием биометрических персональных данных физических лиц. Данный механизм будет применяться в дополнение к УКЭП. Сочетание этих двух факторов повысит уровень безопасности таких сдело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к и обеспечит дополнительную защиту имущественных прав граждан. </w:t>
      </w:r>
      <w:r>
        <w:rPr>
          <w:rFonts w:ascii="Tinos" w:hAnsi="Tinos" w:eastAsia="Tinos" w:cs="Tinos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Это очередной шаг на пути цифровизации, что сократит сроки получения услуг Росреестра и сделает их ещё более удобными для наших пользователей.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sz w:val="28"/>
          <w:szCs w:val="28"/>
        </w:rPr>
        <w:outlineLvl w:val="1"/>
      </w:pPr>
      <w:r>
        <w:rPr>
          <w:rFonts w:ascii="Tinos" w:hAnsi="Tinos" w:eastAsia="Tinos" w:cs="Tinos"/>
          <w:color w:val="555555"/>
          <w:sz w:val="28"/>
          <w:szCs w:val="28"/>
          <w:highlight w:val="none"/>
        </w:rPr>
      </w:r>
      <w:r>
        <w:rPr>
          <w:rFonts w:ascii="Tinos" w:hAnsi="Tinos" w:eastAsia="Tinos" w:cs="Tinos"/>
          <w:color w:val="555555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2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  <w:style w:type="character" w:styleId="873" w:customStyle="1">
    <w:name w:val="Строгий"/>
    <w:next w:val="863"/>
    <w:link w:val="848"/>
    <w:qFormat/>
    <w:rPr>
      <w:rFonts w:cs="Times New Roman"/>
      <w:b/>
      <w:bCs/>
    </w:rPr>
  </w:style>
  <w:style w:type="paragraph" w:styleId="874" w:customStyle="1">
    <w:name w:val="Обычный (веб)"/>
    <w:basedOn w:val="685"/>
    <w:next w:val="691"/>
    <w:link w:val="685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7</cp:revision>
  <dcterms:created xsi:type="dcterms:W3CDTF">2024-09-04T06:50:00Z</dcterms:created>
  <dcterms:modified xsi:type="dcterms:W3CDTF">2025-06-10T11:10:10Z</dcterms:modified>
</cp:coreProperties>
</file>