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nos" w:hAnsi="Tinos" w:cs="Tinos"/>
          <w:b/>
          <w:color w:val="auto"/>
          <w:sz w:val="28"/>
          <w:szCs w:val="28"/>
        </w:rPr>
      </w:pPr>
      <w:r>
        <w:rPr>
          <w:rFonts w:ascii="Tinos" w:hAnsi="Tinos" w:eastAsia="Tinos" w:cs="Tinos"/>
          <w:b/>
          <w:color w:val="auto"/>
          <w:sz w:val="28"/>
          <w:szCs w:val="28"/>
        </w:rPr>
      </w:r>
      <w:r>
        <w:rPr>
          <w:rFonts w:ascii="Tinos" w:hAnsi="Tinos" w:eastAsia="Tinos" w:cs="Tinos"/>
          <w:b/>
          <w:color w:val="auto"/>
          <w:sz w:val="28"/>
          <w:szCs w:val="28"/>
        </w:rPr>
        <w:t xml:space="preserve">Как признать садовый дом жилым для дальнейшей его газификации в СНТ</w:t>
      </w:r>
      <w:r>
        <w:rPr>
          <w:rFonts w:ascii="Tinos" w:hAnsi="Tinos" w:cs="Tinos"/>
          <w:b/>
          <w:color w:val="auto"/>
          <w:sz w:val="28"/>
          <w:szCs w:val="28"/>
        </w:rPr>
      </w:r>
    </w:p>
    <w:p>
      <w:pPr>
        <w:pStyle w:val="862"/>
        <w:jc w:val="both"/>
        <w:rPr>
          <w:rFonts w:ascii="Tinos" w:hAnsi="Tinos" w:cs="Tinos"/>
          <w:b/>
          <w:color w:val="auto"/>
          <w:sz w:val="28"/>
          <w:szCs w:val="28"/>
        </w:rPr>
      </w:pPr>
      <w:r>
        <w:rPr>
          <w:rFonts w:ascii="Tinos" w:hAnsi="Tinos" w:eastAsia="Tinos" w:cs="Tinos"/>
          <w:b/>
          <w:color w:val="auto"/>
          <w:sz w:val="28"/>
          <w:szCs w:val="28"/>
        </w:rPr>
      </w:r>
      <w:r>
        <w:rPr>
          <w:rFonts w:ascii="Tinos" w:hAnsi="Tinos" w:eastAsia="Tinos" w:cs="Tinos"/>
          <w:b/>
          <w:color w:val="auto"/>
          <w:sz w:val="28"/>
          <w:szCs w:val="28"/>
        </w:rPr>
      </w:r>
      <w:r>
        <w:rPr>
          <w:rFonts w:ascii="Tinos" w:hAnsi="Tinos" w:cs="Tinos"/>
          <w:b/>
          <w:color w:val="auto"/>
          <w:sz w:val="28"/>
          <w:szCs w:val="28"/>
        </w:rPr>
      </w:r>
    </w:p>
    <w:p>
      <w:pPr>
        <w:pStyle w:val="682"/>
        <w:jc w:val="both"/>
        <w:rPr>
          <w:rFonts w:ascii="Tinos" w:hAnsi="Tinos" w:cs="Tinos"/>
          <w:color w:val="auto"/>
          <w:sz w:val="27"/>
          <w:szCs w:val="27"/>
        </w:rPr>
      </w:pPr>
      <w:r>
        <w:rPr>
          <w:rFonts w:ascii="Tinos" w:hAnsi="Tinos" w:eastAsia="Tinos" w:cs="Tinos"/>
          <w:color w:val="auto"/>
          <w:sz w:val="28"/>
          <w:szCs w:val="28"/>
        </w:rPr>
        <w:t xml:space="preserve">В феврале 2024 года в послании Федеральному Собранию Глава государства за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явил о необходимости включения садовых товариществ в границах населенных пунктов в программу социальной газификации.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Речь идет о том, чтобы бесплатно провести газ до границ садовых земельных участков, на которых расположены жилые дома в населенных пунктах.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pStyle w:val="682"/>
        <w:jc w:val="both"/>
        <w:rPr>
          <w:rFonts w:ascii="Tinos" w:hAnsi="Tinos" w:cs="Tinos"/>
          <w:bCs w:val="0"/>
          <w:i w:val="0"/>
          <w:color w:val="auto"/>
          <w:sz w:val="28"/>
          <w:szCs w:val="28"/>
        </w:rPr>
      </w:pPr>
      <w:r>
        <w:rPr>
          <w:rFonts w:ascii="Tinos" w:hAnsi="Tinos" w:eastAsia="Tinos" w:cs="Tinos"/>
          <w:i/>
          <w:color w:val="auto"/>
          <w:sz w:val="28"/>
          <w:szCs w:val="28"/>
        </w:rPr>
        <w:t xml:space="preserve">«Газификация садоводческих некоммерческих товариществ </w:t>
      </w:r>
      <w:r>
        <w:rPr>
          <w:rFonts w:ascii="Tinos" w:hAnsi="Tinos" w:eastAsia="Tinos" w:cs="Tinos"/>
          <w:i/>
          <w:color w:val="auto"/>
          <w:sz w:val="28"/>
          <w:szCs w:val="28"/>
        </w:rPr>
        <w:t xml:space="preserve">является важным шагом к устойчивому развитию региона и повышению благосостояния его жителей. </w:t>
      </w:r>
      <w:r>
        <w:rPr>
          <w:rFonts w:ascii="Tinos" w:hAnsi="Tinos" w:eastAsia="Tinos" w:cs="Tinos"/>
          <w:i/>
          <w:color w:val="auto"/>
          <w:sz w:val="28"/>
          <w:szCs w:val="28"/>
        </w:rPr>
        <w:t xml:space="preserve">Управление Росреестра по </w:t>
      </w:r>
      <w:r>
        <w:rPr>
          <w:rFonts w:ascii="Tinos" w:hAnsi="Tinos" w:eastAsia="Tinos" w:cs="Tinos"/>
          <w:i/>
          <w:color w:val="auto"/>
          <w:sz w:val="28"/>
          <w:szCs w:val="28"/>
        </w:rPr>
        <w:t xml:space="preserve">Республике Адыгея</w:t>
      </w:r>
      <w:r>
        <w:rPr>
          <w:rFonts w:ascii="Tinos" w:hAnsi="Tinos" w:eastAsia="Tinos" w:cs="Tinos"/>
          <w:i/>
          <w:color w:val="auto"/>
          <w:sz w:val="28"/>
          <w:szCs w:val="28"/>
        </w:rPr>
        <w:t xml:space="preserve"> оказывает максимальное содействие в рамках решения вопросов по государственному кадастровому учету объектов недвижимости и оформлению прав на такие объекты</w:t>
      </w:r>
      <w:r>
        <w:rPr>
          <w:rFonts w:ascii="Tinos" w:hAnsi="Tinos" w:eastAsia="Tinos" w:cs="Tinos"/>
          <w:i/>
          <w:color w:val="auto"/>
          <w:sz w:val="28"/>
          <w:szCs w:val="28"/>
        </w:rPr>
        <w:t xml:space="preserve"> в сокращённые сроки»,</w:t>
      </w:r>
      <w:r>
        <w:rPr>
          <w:rFonts w:ascii="Tinos" w:hAnsi="Tinos" w:eastAsia="Tinos" w:cs="Tinos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i w:val="0"/>
          <w:iCs w:val="0"/>
          <w:color w:val="auto"/>
          <w:sz w:val="28"/>
          <w:szCs w:val="28"/>
        </w:rPr>
        <w:t xml:space="preserve">– отмечает и.о. руководителя Управления </w:t>
      </w:r>
      <w:r>
        <w:rPr>
          <w:rFonts w:ascii="Tinos" w:hAnsi="Tinos" w:eastAsia="Tinos" w:cs="Tinos"/>
          <w:b/>
          <w:bCs/>
          <w:i w:val="0"/>
          <w:iCs w:val="0"/>
          <w:color w:val="auto"/>
          <w:sz w:val="28"/>
          <w:szCs w:val="28"/>
        </w:rPr>
        <w:t xml:space="preserve">Мариета Емыкова</w:t>
      </w:r>
      <w:r>
        <w:rPr>
          <w:rFonts w:ascii="Tinos" w:hAnsi="Tinos" w:eastAsia="Tinos" w:cs="Tinos"/>
          <w:i w:val="0"/>
          <w:iCs w:val="0"/>
          <w:color w:val="auto"/>
          <w:sz w:val="28"/>
          <w:szCs w:val="28"/>
        </w:rPr>
        <w:t xml:space="preserve">. </w:t>
      </w:r>
      <w:r>
        <w:rPr>
          <w:rFonts w:ascii="Tinos" w:hAnsi="Tinos" w:eastAsia="Tinos" w:cs="Tinos"/>
          <w:bCs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i w:val="0"/>
          <w:iCs w:val="0"/>
          <w:color w:val="auto"/>
          <w:sz w:val="28"/>
          <w:szCs w:val="28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pStyle w:val="862"/>
        <w:jc w:val="both"/>
        <w:rPr>
          <w:rFonts w:ascii="Tinos" w:hAnsi="Tinos" w:cs="Tinos"/>
          <w:bCs/>
          <w:i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i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</w:rPr>
        <w:t xml:space="preserve">В кратком </w:t>
      </w:r>
      <w:hyperlink r:id="rId10" w:tooltip="https://rosreestr.gov.ru/upload/Doc/informatsiya/%D0%A8%D0%B0%D0%B3%D0%B8_%D0%B4%D0%BB%D1%8F_%D0%B4%D0%BE%D0%B3%D0%B0%D0%B7%D0%B8%D1%84%D0%B8%D0%BA%D0%B0%D1%86%D0%B8%D0%B8_%D0%B6%D0%B8%D0%BB%D1%8B%D1%85_%D0%B4%D0%BE%D0%BC%D0%BE%D0%B2_%D0%B2_%D0%A1%D0%9D%D0%A2.pdf" w:history="1">
        <w:r>
          <w:rPr>
            <w:rStyle w:val="865"/>
            <w:rFonts w:ascii="Tinos" w:hAnsi="Tinos" w:eastAsia="Tinos" w:cs="Tinos"/>
            <w:color w:val="auto"/>
            <w:sz w:val="28"/>
            <w:szCs w:val="28"/>
          </w:rPr>
          <w:t xml:space="preserve">методическом пособии</w:t>
        </w:r>
      </w:hyperlink>
      <w:r>
        <w:rPr>
          <w:rFonts w:ascii="Tinos" w:hAnsi="Tinos" w:eastAsia="Tinos" w:cs="Tinos"/>
          <w:color w:val="auto"/>
          <w:sz w:val="28"/>
          <w:szCs w:val="28"/>
        </w:rPr>
        <w:t xml:space="preserve">, разработанным Росреестром,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прописаны условия, которые необходимы для участия в программе</w:t>
      </w:r>
      <w:r>
        <w:rPr>
          <w:rFonts w:ascii="Tinos" w:hAnsi="Tinos" w:eastAsia="Tinos" w:cs="Tinos"/>
          <w:i/>
          <w:color w:val="auto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i/>
          <w:color w:val="auto"/>
          <w:sz w:val="28"/>
          <w:szCs w:val="28"/>
          <w:highlight w:val="none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</w:rPr>
        <w:t xml:space="preserve">Одно из обязательных условий для участия – дом на садовом участке должен иметь назначение «жилой», права на него зарегистрированы в Едином государственном реестре недвижимости (далее - ЕГРН).</w:t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</w:rPr>
        <w:t xml:space="preserve">Если на участке находится садовый дом, то его следует перевести в жилой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в соответствии с постановлением Правительства РФ от 28.01.2006 № 47.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Садовый дом признается жилым домом на основании решения органа местного самоуправления муниципального образования (например, администрация района или города, сельского поселения), в границах которого расположен садовый дом  (далее - уполномоченный орган местного самоуправления).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Для признания садового дома жилым собственник садового дома представляет в уполномоченный орган местного самоуправления непосредственно либо через многофункциональный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 центр предоставления государственных и муниципальных услуг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 (далее - МФЦ) следующие документы: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4"/>
        <w:numPr>
          <w:ilvl w:val="0"/>
          <w:numId w:val="12"/>
        </w:numPr>
        <w:ind w:right="0"/>
        <w:jc w:val="both"/>
        <w:shd w:val="clear" w:color="ffffff" w:fill="ffffff"/>
        <w:rPr>
          <w:rFonts w:ascii="Tinos" w:hAnsi="Tinos" w:cs="Tinos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заявление о признании садового дома жилым домом</w:t>
      </w:r>
      <w:r>
        <w:rPr>
          <w:rFonts w:ascii="Tinos" w:hAnsi="Tinos" w:eastAsia="Tinos" w:cs="Tinos"/>
          <w:color w:val="auto"/>
          <w:sz w:val="28"/>
          <w:szCs w:val="28"/>
        </w:rPr>
        <w:t xml:space="preserve"> (с указанием кадастрового номера дома и участка)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numPr>
          <w:ilvl w:val="0"/>
          <w:numId w:val="12"/>
        </w:numPr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i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, содержащую сведения о зарегистрированных правах заявителя на садовый дом,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либо правоустанавливающий документ на садовый дом в случае, если право собственности заявителя не зарегистрировано в ЕГРН, или нотариально заверенную копию такого документа;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i/>
          <w:color w:val="auto"/>
          <w:sz w:val="28"/>
          <w:szCs w:val="28"/>
          <w:highlight w:val="none"/>
        </w:rPr>
      </w:r>
    </w:p>
    <w:p>
      <w:pPr>
        <w:pStyle w:val="862"/>
        <w:numPr>
          <w:ilvl w:val="0"/>
          <w:numId w:val="12"/>
        </w:numPr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заключение по обследованию технического состояния объекта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;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numPr>
          <w:ilvl w:val="0"/>
          <w:numId w:val="12"/>
        </w:numPr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при наличии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третьих лиц (например, аренда, ипотека),  - нотариально удостоверенное согласие указанных лиц.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Орган местного самоуправления направляет решение о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признании садового дома жилым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 в Росреестр в порядке межведомственного взаимодействия для 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регистрации изменений 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в ЕГРН.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Собственник дома вправе самостоятельно обратиться с заявлением о внесении сведений  (через МФЦ или электронные сервисы Росреестра) с приложением решения. </w:t>
      </w:r>
      <w:r>
        <w:rPr>
          <w:rFonts w:ascii="Tinos" w:hAnsi="Tinos" w:eastAsia="Tinos" w:cs="Tinos"/>
          <w:color w:val="auto"/>
          <w:sz w:val="28"/>
          <w:szCs w:val="28"/>
        </w:rPr>
        <w:t xml:space="preserve">По завершении этой процедуры правообладатель получит выписку из ЕГРН о новом статусе недвижимости. </w:t>
      </w: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pStyle w:val="862"/>
        <w:jc w:val="both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Title Char"/>
    <w:basedOn w:val="683"/>
    <w:link w:val="703"/>
    <w:uiPriority w:val="10"/>
    <w:rPr>
      <w:sz w:val="48"/>
      <w:szCs w:val="48"/>
    </w:rPr>
  </w:style>
  <w:style w:type="character" w:styleId="677">
    <w:name w:val="Subtitle Char"/>
    <w:basedOn w:val="683"/>
    <w:link w:val="705"/>
    <w:uiPriority w:val="11"/>
    <w:rPr>
      <w:sz w:val="24"/>
      <w:szCs w:val="24"/>
    </w:rPr>
  </w:style>
  <w:style w:type="character" w:styleId="678">
    <w:name w:val="Quote Char"/>
    <w:link w:val="707"/>
    <w:uiPriority w:val="29"/>
    <w:rPr>
      <w:i/>
    </w:rPr>
  </w:style>
  <w:style w:type="character" w:styleId="679">
    <w:name w:val="Intense Quote Char"/>
    <w:link w:val="709"/>
    <w:uiPriority w:val="30"/>
    <w:rPr>
      <w:i/>
    </w:rPr>
  </w:style>
  <w:style w:type="character" w:styleId="680">
    <w:name w:val="Footnote Text Char"/>
    <w:link w:val="842"/>
    <w:uiPriority w:val="99"/>
    <w:rPr>
      <w:sz w:val="18"/>
    </w:rPr>
  </w:style>
  <w:style w:type="character" w:styleId="681">
    <w:name w:val="Endnote Text Char"/>
    <w:link w:val="845"/>
    <w:uiPriority w:val="99"/>
    <w:rPr>
      <w:sz w:val="20"/>
    </w:rPr>
  </w:style>
  <w:style w:type="paragraph" w:styleId="682" w:default="1">
    <w:name w:val="Normal"/>
    <w:qFormat/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link w:val="859"/>
    <w:uiPriority w:val="9"/>
    <w:rPr>
      <w:rFonts w:ascii="Arial" w:hAnsi="Arial" w:eastAsia="Arial" w:cs="Arial"/>
      <w:sz w:val="40"/>
      <w:szCs w:val="40"/>
    </w:rPr>
  </w:style>
  <w:style w:type="paragraph" w:styleId="687" w:customStyle="1">
    <w:name w:val="Heading 2"/>
    <w:basedOn w:val="682"/>
    <w:next w:val="682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 w:customStyle="1">
    <w:name w:val="Heading 2 Char"/>
    <w:basedOn w:val="683"/>
    <w:link w:val="687"/>
    <w:uiPriority w:val="9"/>
    <w:rPr>
      <w:rFonts w:ascii="Arial" w:hAnsi="Arial" w:eastAsia="Arial" w:cs="Arial"/>
      <w:sz w:val="34"/>
    </w:rPr>
  </w:style>
  <w:style w:type="paragraph" w:styleId="689" w:customStyle="1">
    <w:name w:val="Heading 3"/>
    <w:basedOn w:val="682"/>
    <w:next w:val="682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 w:customStyle="1">
    <w:name w:val="Heading 3 Char"/>
    <w:basedOn w:val="683"/>
    <w:link w:val="689"/>
    <w:uiPriority w:val="9"/>
    <w:rPr>
      <w:rFonts w:ascii="Arial" w:hAnsi="Arial" w:eastAsia="Arial" w:cs="Arial"/>
      <w:sz w:val="30"/>
      <w:szCs w:val="30"/>
    </w:rPr>
  </w:style>
  <w:style w:type="paragraph" w:styleId="691" w:customStyle="1">
    <w:name w:val="Heading 4"/>
    <w:basedOn w:val="682"/>
    <w:next w:val="682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4 Char"/>
    <w:basedOn w:val="68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 w:customStyle="1">
    <w:name w:val="Heading 5"/>
    <w:basedOn w:val="682"/>
    <w:next w:val="682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5 Char"/>
    <w:basedOn w:val="683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 w:customStyle="1">
    <w:name w:val="Heading 6"/>
    <w:basedOn w:val="682"/>
    <w:next w:val="68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96" w:customStyle="1">
    <w:name w:val="Heading 6 Char"/>
    <w:basedOn w:val="683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 w:customStyle="1">
    <w:name w:val="Heading 7"/>
    <w:basedOn w:val="682"/>
    <w:next w:val="68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98" w:customStyle="1">
    <w:name w:val="Heading 7 Char"/>
    <w:basedOn w:val="683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 w:customStyle="1">
    <w:name w:val="Heading 8"/>
    <w:basedOn w:val="682"/>
    <w:next w:val="682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00" w:customStyle="1">
    <w:name w:val="Heading 8 Char"/>
    <w:basedOn w:val="683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Heading 9"/>
    <w:basedOn w:val="682"/>
    <w:next w:val="682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Heading 9 Char"/>
    <w:basedOn w:val="683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682"/>
    <w:next w:val="682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ние Знак"/>
    <w:basedOn w:val="683"/>
    <w:link w:val="703"/>
    <w:uiPriority w:val="10"/>
    <w:rPr>
      <w:sz w:val="48"/>
      <w:szCs w:val="48"/>
    </w:rPr>
  </w:style>
  <w:style w:type="paragraph" w:styleId="705">
    <w:name w:val="Subtitle"/>
    <w:basedOn w:val="682"/>
    <w:next w:val="682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83"/>
    <w:link w:val="705"/>
    <w:uiPriority w:val="11"/>
    <w:rPr>
      <w:sz w:val="24"/>
      <w:szCs w:val="24"/>
    </w:rPr>
  </w:style>
  <w:style w:type="paragraph" w:styleId="707">
    <w:name w:val="Quote"/>
    <w:basedOn w:val="682"/>
    <w:next w:val="682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82"/>
    <w:next w:val="682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 w:customStyle="1">
    <w:name w:val="Header"/>
    <w:basedOn w:val="682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Header Char"/>
    <w:basedOn w:val="683"/>
    <w:link w:val="711"/>
    <w:uiPriority w:val="99"/>
  </w:style>
  <w:style w:type="paragraph" w:styleId="713" w:customStyle="1">
    <w:name w:val="Footer"/>
    <w:basedOn w:val="682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83"/>
    <w:link w:val="713"/>
    <w:uiPriority w:val="99"/>
  </w:style>
  <w:style w:type="paragraph" w:styleId="715" w:customStyle="1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link w:val="713"/>
    <w:uiPriority w:val="99"/>
  </w:style>
  <w:style w:type="table" w:styleId="717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 w:customStyle="1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82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3"/>
    <w:uiPriority w:val="99"/>
    <w:unhideWhenUsed/>
    <w:rPr>
      <w:vertAlign w:val="superscript"/>
    </w:rPr>
  </w:style>
  <w:style w:type="paragraph" w:styleId="845">
    <w:name w:val="endnote text"/>
    <w:basedOn w:val="682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3"/>
    <w:uiPriority w:val="99"/>
    <w:semiHidden/>
    <w:unhideWhenUsed/>
    <w:rPr>
      <w:vertAlign w:val="superscript"/>
    </w:rPr>
  </w:style>
  <w:style w:type="paragraph" w:styleId="848">
    <w:name w:val="toc 1"/>
    <w:basedOn w:val="682"/>
    <w:next w:val="682"/>
    <w:uiPriority w:val="39"/>
    <w:unhideWhenUsed/>
    <w:pPr>
      <w:spacing w:after="57"/>
    </w:pPr>
  </w:style>
  <w:style w:type="paragraph" w:styleId="849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0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1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2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3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4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55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56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82"/>
    <w:next w:val="682"/>
    <w:uiPriority w:val="99"/>
    <w:unhideWhenUsed/>
    <w:pPr>
      <w:spacing w:after="0"/>
    </w:pPr>
  </w:style>
  <w:style w:type="paragraph" w:styleId="859" w:customStyle="1">
    <w:name w:val="Heading 1"/>
    <w:basedOn w:val="682"/>
    <w:next w:val="682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Balloon Text"/>
    <w:basedOn w:val="682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683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683"/>
    <w:link w:val="85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682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683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683"/>
    <w:uiPriority w:val="99"/>
    <w:semiHidden/>
    <w:unhideWhenUsed/>
    <w:rPr>
      <w:sz w:val="16"/>
      <w:szCs w:val="16"/>
    </w:rPr>
  </w:style>
  <w:style w:type="paragraph" w:styleId="867">
    <w:name w:val="annotation text"/>
    <w:basedOn w:val="682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683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table" w:styleId="871">
    <w:name w:val="Table Grid"/>
    <w:basedOn w:val="68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8</cp:revision>
  <dcterms:created xsi:type="dcterms:W3CDTF">2024-10-23T06:58:00Z</dcterms:created>
  <dcterms:modified xsi:type="dcterms:W3CDTF">2025-06-11T11:16:31Z</dcterms:modified>
</cp:coreProperties>
</file>