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4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0" w:firstLine="0"/>
        <w:jc w:val="center"/>
        <w:spacing w:before="0" w:after="0" w:line="450" w:lineRule="atLeast"/>
        <w:shd w:val="clear" w:color="ffffff" w:fill="ffffff"/>
        <w:rPr>
          <w:rFonts w:ascii="Tinos" w:hAnsi="Tinos" w:eastAsia="Tinos" w:cs="Tinos"/>
          <w:b/>
          <w:bCs/>
          <w:color w:val="3e3e3e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i w:val="0"/>
          <w:color w:val="ffffff" w:themeColor="background1"/>
          <w:u w:val="none"/>
        </w:rPr>
        <w:t xml:space="preserve">формат взаимодействия</w:t>
      </w:r>
      <w:r>
        <w:rPr>
          <w:rFonts w:ascii="Tinos" w:hAnsi="Tinos" w:eastAsia="Tinos" w:cs="Tinos"/>
          <w:b/>
          <w:bCs/>
          <w:color w:val="3e3e3e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after="0"/>
        <w:rPr>
          <w:rFonts w:ascii="Tinos" w:hAnsi="Tinos" w:cs="Tinos"/>
          <w:color w:val="292c2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92c2f"/>
          <w:sz w:val="28"/>
          <w:szCs w:val="28"/>
          <w:highlight w:val="none"/>
        </w:rPr>
        <w:t xml:space="preserve">Электронный формат взаимодействия юрлиц с Росреестро</w:t>
      </w:r>
      <w:r>
        <w:rPr>
          <w:rFonts w:ascii="Tinos" w:hAnsi="Tinos" w:eastAsia="Tinos" w:cs="Tinos"/>
          <w:b/>
          <w:bCs/>
          <w:color w:val="292c2f"/>
          <w:sz w:val="28"/>
          <w:szCs w:val="28"/>
          <w:highlight w:val="none"/>
        </w:rPr>
        <w:t xml:space="preserve">м</w:t>
      </w:r>
      <w:r>
        <w:rPr>
          <w:rFonts w:ascii="Tinos" w:hAnsi="Tinos" w:cs="Tinos"/>
          <w:color w:val="292c2f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nos" w:hAnsi="Tinos" w:eastAsia="Tinos" w:cs="Tinos"/>
          <w:color w:val="292c2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nos" w:hAnsi="Tinos" w:eastAsia="Tinos" w:cs="Tinos"/>
          <w:color w:val="292c2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Росреестр Адыгеи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напоминает, что с 1 марта 2025 года вступил в силу Федеральный закон от 26.12.2024 N </w:t>
      </w:r>
      <w:hyperlink r:id="rId10" w:tooltip="http://publication.pravo.gov.ru/document/0001202412260014?index=1" w:history="1">
        <w:r>
          <w:rPr>
            <w:rStyle w:val="867"/>
            <w:rFonts w:ascii="Tinos" w:hAnsi="Tinos" w:eastAsia="Tinos" w:cs="Tinos"/>
            <w:sz w:val="28"/>
            <w:szCs w:val="28"/>
            <w:highlight w:val="white"/>
          </w:rPr>
          <w:t xml:space="preserve">487-ФЗ</w:t>
        </w:r>
      </w:hyperlink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 «О внесении изменений в отдельные законодательные акты Российской Федерации», который определяет порядок электронного взаимодействия з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астройщиков с регистрирующим органом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.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 Согласно правилам, юридические лица должны подавать заявления на кадастровый учет и регистрацию прав, а также прилагаемые к ним документы только в электронной форме.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  <w:r>
        <w:rPr>
          <w:rFonts w:ascii="Tinos" w:hAnsi="Tinos" w:cs="Tinos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nos" w:hAnsi="Tinos" w:eastAsia="Tinos" w:cs="Tinos"/>
          <w:bCs/>
          <w:i/>
          <w:color w:val="292c2f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/>
          <w:iCs/>
          <w:color w:val="292c2f"/>
          <w:sz w:val="28"/>
          <w:szCs w:val="28"/>
          <w:highlight w:val="none"/>
          <w:u w:val="none"/>
        </w:rPr>
      </w:r>
      <w:r>
        <w:rPr>
          <w:rFonts w:ascii="Tinos" w:hAnsi="Tinos" w:eastAsia="Tinos" w:cs="Tinos"/>
          <w:b w:val="0"/>
          <w:bCs w:val="0"/>
          <w:i w:val="0"/>
          <w:iCs w:val="0"/>
          <w:color w:val="292c2f"/>
          <w:sz w:val="28"/>
          <w:szCs w:val="28"/>
          <w:u w:val="none"/>
        </w:rPr>
        <w:t xml:space="preserve">Способы подачи электронных документов в Росреестр:</w:t>
      </w:r>
      <w:r>
        <w:rPr>
          <w:rFonts w:ascii="Tinos" w:hAnsi="Tinos" w:eastAsia="Tinos" w:cs="Tinos"/>
          <w:b w:val="0"/>
          <w:bCs w:val="0"/>
          <w:i w:val="0"/>
          <w:iCs w:val="0"/>
          <w:color w:val="292c2f"/>
          <w:sz w:val="28"/>
          <w:szCs w:val="28"/>
          <w:u w:val="none"/>
        </w:rPr>
        <w:t xml:space="preserve"> </w:t>
      </w:r>
      <w:r>
        <w:rPr>
          <w:rFonts w:ascii="Tinos" w:hAnsi="Tinos" w:eastAsia="Tinos" w:cs="Tinos"/>
          <w:i/>
          <w:iCs/>
          <w:color w:val="292c2f"/>
          <w:sz w:val="28"/>
          <w:szCs w:val="28"/>
          <w:highlight w:val="none"/>
          <w:u w:val="none"/>
        </w:rPr>
      </w:r>
      <w:r>
        <w:rPr>
          <w:rFonts w:ascii="Tinos" w:hAnsi="Tinos" w:eastAsia="Tinos" w:cs="Tinos"/>
          <w:bCs/>
          <w:i/>
          <w:color w:val="292c2f"/>
          <w:sz w:val="28"/>
          <w:szCs w:val="28"/>
          <w:highlight w:val="none"/>
          <w:u w:val="none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bCs/>
          <w:i/>
          <w:color w:val="292c2f"/>
          <w:sz w:val="28"/>
          <w:szCs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/>
          <w:iCs/>
          <w:color w:val="292c2f"/>
          <w:sz w:val="28"/>
          <w:szCs w:val="28"/>
          <w:highlight w:val="none"/>
          <w:u w:val="none"/>
        </w:rPr>
      </w:r>
      <w:r>
        <w:rPr>
          <w:rFonts w:ascii="Tinos" w:hAnsi="Tinos" w:eastAsia="Tinos" w:cs="Tinos"/>
          <w:i/>
          <w:iCs/>
          <w:color w:val="292c2f"/>
          <w:sz w:val="28"/>
          <w:szCs w:val="28"/>
          <w:highlight w:val="none"/>
          <w:u w:val="none"/>
        </w:rPr>
      </w:r>
      <w:r>
        <w:rPr>
          <w:rFonts w:ascii="Tinos" w:hAnsi="Tinos" w:cs="Tinos"/>
          <w:bCs/>
          <w:i/>
          <w:color w:val="292c2f"/>
          <w:sz w:val="28"/>
          <w:szCs w:val="28"/>
          <w:u w:val="none"/>
        </w:rPr>
      </w:r>
    </w:p>
    <w:p>
      <w:pPr>
        <w:pStyle w:val="866"/>
        <w:numPr>
          <w:ilvl w:val="0"/>
          <w:numId w:val="13"/>
        </w:numPr>
        <w:ind w:right="0"/>
        <w:jc w:val="both"/>
        <w:spacing w:before="0" w:after="0"/>
        <w:rPr>
          <w:rFonts w:ascii="Tinos" w:hAnsi="Tinos" w:cs="Tinos"/>
          <w:color w:val="292c2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личный кабинет на сайте Росреестра, </w:t>
      </w: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pStyle w:val="866"/>
        <w:numPr>
          <w:ilvl w:val="0"/>
          <w:numId w:val="13"/>
        </w:numPr>
        <w:ind w:right="0"/>
        <w:jc w:val="both"/>
        <w:spacing w:before="0" w:after="0"/>
        <w:rPr>
          <w:rFonts w:ascii="Tinos" w:hAnsi="Tinos" w:cs="Tinos"/>
          <w:color w:val="292c2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Сервис прямого доступа (СПД-3), </w:t>
      </w: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pStyle w:val="866"/>
        <w:numPr>
          <w:ilvl w:val="0"/>
          <w:numId w:val="13"/>
        </w:numPr>
        <w:ind w:right="0"/>
        <w:jc w:val="both"/>
        <w:spacing w:before="0" w:after="0"/>
        <w:rPr>
          <w:rFonts w:ascii="Tinos" w:hAnsi="Tinos" w:cs="Tinos"/>
          <w:color w:val="292c2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Сервис взаимодействия с Росреестром и Адаптер электронного взаимодействия (Адаптер), </w:t>
      </w:r>
      <w:r>
        <w:rPr>
          <w:rFonts w:ascii="Tinos" w:hAnsi="Tinos" w:eastAsia="Tinos" w:cs="Tinos"/>
          <w:color w:val="292c2f"/>
          <w:sz w:val="28"/>
          <w:szCs w:val="28"/>
        </w:rPr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pStyle w:val="866"/>
        <w:numPr>
          <w:ilvl w:val="0"/>
          <w:numId w:val="13"/>
        </w:numPr>
        <w:ind w:right="0"/>
        <w:jc w:val="both"/>
        <w:spacing w:before="0" w:after="0"/>
        <w:rPr>
          <w:rFonts w:ascii="Tinos" w:hAnsi="Tinos" w:cs="Tinos"/>
          <w:color w:val="292c2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Федеральная государственная информационная система межведомственного электронного взаимодействия (СМЭВ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),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pStyle w:val="866"/>
        <w:numPr>
          <w:ilvl w:val="0"/>
          <w:numId w:val="13"/>
        </w:numPr>
        <w:ind w:right="0"/>
        <w:jc w:val="both"/>
        <w:spacing w:before="0" w:after="0"/>
        <w:rPr>
          <w:rFonts w:ascii="Tinos" w:hAnsi="Tinos" w:cs="Tinos"/>
          <w:color w:val="292c2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иные способы, предусмотренные пунктом 2 части 1 статьи 18 Федерального закона от 13.07.2015 № 218-ФЗ «О государственной регистрации недвижимости».</w:t>
      </w:r>
      <w:r>
        <w:rPr>
          <w:rFonts w:ascii="Tinos" w:hAnsi="Tinos" w:eastAsia="Tinos" w:cs="Tinos"/>
          <w:sz w:val="28"/>
          <w:szCs w:val="28"/>
        </w:rPr>
        <w:br/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color w:val="292c2f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color w:val="292c2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«</w:t>
      </w:r>
      <w:r>
        <w:rPr>
          <w:rFonts w:ascii="Tinos" w:hAnsi="Tinos" w:eastAsia="Tinos" w:cs="Tinos"/>
          <w:b w:val="0"/>
          <w:bCs w:val="0"/>
          <w:color w:val="292c2f"/>
          <w:sz w:val="28"/>
          <w:szCs w:val="28"/>
        </w:rPr>
        <w:t xml:space="preserve">Исключение из общего правила</w:t>
      </w:r>
      <w:r>
        <w:rPr>
          <w:rFonts w:ascii="Tinos" w:hAnsi="Tinos" w:eastAsia="Tinos" w:cs="Tinos"/>
          <w:b/>
          <w:color w:val="292c2f"/>
          <w:sz w:val="28"/>
          <w:szCs w:val="28"/>
        </w:rPr>
        <w:t xml:space="preserve"> 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предусмотрено для случаев, когда стороной сделки является физическое лицо (кроме договоров участия в долевом строительстве). Также законом установлено, что юридическое лицо вправе подать документы в регистрирующий орган на бумаге при временной технической 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невозможности сделать это в электронной форме», – уточнила и.о. руководителя Управления Росреестра по Республике Адыгея </w:t>
      </w:r>
      <w:r>
        <w:rPr>
          <w:rFonts w:ascii="Tinos" w:hAnsi="Tinos" w:eastAsia="Tinos" w:cs="Tinos"/>
          <w:b/>
          <w:bCs/>
          <w:color w:val="292c2f"/>
          <w:sz w:val="28"/>
          <w:szCs w:val="28"/>
        </w:rPr>
        <w:t xml:space="preserve">Мариета Емыков</w:t>
      </w:r>
      <w:r>
        <w:rPr>
          <w:rFonts w:ascii="Tinos" w:hAnsi="Tinos" w:eastAsia="Tinos" w:cs="Tinos"/>
          <w:b/>
          <w:bCs/>
          <w:color w:val="292c2f"/>
          <w:sz w:val="28"/>
          <w:szCs w:val="28"/>
        </w:rPr>
        <w:t xml:space="preserve">а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.</w:t>
      </w:r>
      <w:r>
        <w:rPr>
          <w:rFonts w:ascii="Tinos" w:hAnsi="Tinos" w:cs="Tinos"/>
          <w:color w:val="292c2f"/>
          <w:sz w:val="28"/>
          <w:szCs w:val="28"/>
        </w:rPr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eastAsia="Tinos" w:cs="Tinos"/>
          <w:color w:val="292c2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br/>
      </w:r>
      <w:r>
        <w:rPr>
          <w:rFonts w:ascii="Tinos" w:hAnsi="Tinos" w:eastAsia="Tinos" w:cs="Tinos"/>
          <w:b w:val="0"/>
          <w:bCs w:val="0"/>
          <w:i w:val="0"/>
          <w:iCs w:val="0"/>
          <w:color w:val="292c2f"/>
          <w:sz w:val="28"/>
          <w:szCs w:val="28"/>
        </w:rPr>
        <w:t xml:space="preserve">Возможность подачи заявлений на бумажном носителе сохранится за рядом юридических лиц</w:t>
      </w:r>
      <w:r>
        <w:rPr>
          <w:rFonts w:ascii="Tinos" w:hAnsi="Tinos" w:eastAsia="Tinos" w:cs="Tinos"/>
          <w:b w:val="0"/>
          <w:bCs w:val="0"/>
          <w:i w:val="0"/>
          <w:iCs w:val="0"/>
          <w:color w:val="292c2f"/>
          <w:sz w:val="28"/>
          <w:szCs w:val="28"/>
        </w:rPr>
        <w:t xml:space="preserve"> </w:t>
      </w:r>
      <w:r>
        <w:rPr>
          <w:rFonts w:ascii="Tinos" w:hAnsi="Tinos" w:eastAsia="Tinos" w:cs="Tinos"/>
          <w:b w:val="0"/>
          <w:bCs w:val="0"/>
          <w:i w:val="0"/>
          <w:iCs w:val="0"/>
          <w:color w:val="292c2f"/>
          <w:sz w:val="28"/>
          <w:szCs w:val="28"/>
        </w:rPr>
        <w:t xml:space="preserve">до 1 января 2026 года</w:t>
      </w:r>
      <w:r>
        <w:rPr>
          <w:rFonts w:ascii="Tinos" w:hAnsi="Tinos" w:eastAsia="Tinos" w:cs="Tinos"/>
          <w:b w:val="0"/>
          <w:bCs w:val="0"/>
          <w:i w:val="0"/>
          <w:iCs w:val="0"/>
          <w:color w:val="292c2f"/>
          <w:sz w:val="28"/>
          <w:szCs w:val="28"/>
        </w:rPr>
        <w:t xml:space="preserve">.</w:t>
      </w:r>
      <w:r>
        <w:rPr>
          <w:rFonts w:ascii="Tinos" w:hAnsi="Tinos" w:eastAsia="Tinos" w:cs="Tinos"/>
          <w:b w:val="0"/>
          <w:bCs w:val="0"/>
          <w:i w:val="0"/>
          <w:iCs w:val="0"/>
          <w:color w:val="292c2f"/>
          <w:sz w:val="28"/>
          <w:szCs w:val="28"/>
        </w:rPr>
        <w:t xml:space="preserve"> 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К ним относятся:</w:t>
      </w:r>
      <w:r>
        <w:rPr>
          <w:rFonts w:ascii="Tinos" w:hAnsi="Tinos" w:eastAsia="Tinos" w:cs="Tinos"/>
          <w:color w:val="292c2f"/>
          <w:sz w:val="28"/>
          <w:szCs w:val="28"/>
        </w:rPr>
      </w:r>
      <w:r>
        <w:rPr>
          <w:rFonts w:ascii="Tinos" w:hAnsi="Tinos" w:eastAsia="Tinos" w:cs="Tinos"/>
          <w:color w:val="292c2f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eastAsia="Tinos" w:cs="Tinos"/>
          <w:color w:val="292c2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  <w:r>
        <w:rPr>
          <w:rFonts w:ascii="Tinos" w:hAnsi="Tinos" w:eastAsia="Tinos" w:cs="Tinos"/>
          <w:color w:val="292c2f"/>
          <w:sz w:val="28"/>
          <w:szCs w:val="28"/>
        </w:rPr>
      </w:r>
    </w:p>
    <w:p>
      <w:pPr>
        <w:pStyle w:val="866"/>
        <w:numPr>
          <w:ilvl w:val="0"/>
          <w:numId w:val="15"/>
        </w:numPr>
        <w:ind w:right="0"/>
        <w:jc w:val="both"/>
        <w:spacing w:before="0" w:after="0"/>
        <w:rPr>
          <w:rFonts w:ascii="Tinos" w:hAnsi="Tinos" w:eastAsia="Tinos" w:cs="Tinos"/>
          <w:color w:val="292c2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крестьянские (фермерские) хозяйства, </w:t>
      </w:r>
      <w:r>
        <w:rPr>
          <w:rFonts w:ascii="Tinos" w:hAnsi="Tinos" w:cs="Tinos"/>
          <w:color w:val="292c2f"/>
          <w:sz w:val="28"/>
          <w:szCs w:val="28"/>
        </w:rPr>
      </w: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</w:p>
    <w:p>
      <w:pPr>
        <w:pStyle w:val="866"/>
        <w:numPr>
          <w:ilvl w:val="0"/>
          <w:numId w:val="15"/>
        </w:numPr>
        <w:ind w:right="0"/>
        <w:jc w:val="both"/>
        <w:spacing w:before="0" w:after="0"/>
        <w:rPr>
          <w:rFonts w:ascii="Tinos" w:hAnsi="Tinos" w:eastAsia="Tinos" w:cs="Tinos"/>
          <w:color w:val="292c2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садоводческие и огороднические товарищества, </w:t>
      </w:r>
      <w:r>
        <w:rPr>
          <w:rFonts w:ascii="Tinos" w:hAnsi="Tinos" w:cs="Tinos"/>
          <w:color w:val="292c2f"/>
          <w:sz w:val="28"/>
          <w:szCs w:val="28"/>
        </w:rPr>
      </w:r>
      <w:r>
        <w:rPr>
          <w:rFonts w:ascii="Tinos" w:hAnsi="Tinos" w:eastAsia="Tinos" w:cs="Tinos"/>
          <w:color w:val="292c2f"/>
          <w:sz w:val="28"/>
          <w:szCs w:val="28"/>
        </w:rPr>
      </w:r>
    </w:p>
    <w:p>
      <w:pPr>
        <w:pStyle w:val="866"/>
        <w:numPr>
          <w:ilvl w:val="0"/>
          <w:numId w:val="15"/>
        </w:numPr>
        <w:ind w:right="0"/>
        <w:jc w:val="both"/>
        <w:spacing w:before="0" w:after="0"/>
        <w:rPr>
          <w:rFonts w:ascii="Tinos" w:hAnsi="Tinos" w:eastAsia="Tinos" w:cs="Tinos"/>
          <w:color w:val="292c2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гаражные, жилищные и жилищно-строительные кооперативы, </w:t>
      </w:r>
      <w:r>
        <w:rPr>
          <w:rFonts w:ascii="Tinos" w:hAnsi="Tinos" w:cs="Tinos"/>
          <w:color w:val="292c2f"/>
          <w:sz w:val="28"/>
          <w:szCs w:val="28"/>
        </w:rPr>
      </w:r>
      <w:r>
        <w:rPr>
          <w:rFonts w:ascii="Tinos" w:hAnsi="Tinos" w:eastAsia="Tinos" w:cs="Tinos"/>
          <w:color w:val="292c2f"/>
          <w:sz w:val="28"/>
          <w:szCs w:val="28"/>
        </w:rPr>
      </w:r>
    </w:p>
    <w:p>
      <w:pPr>
        <w:pStyle w:val="866"/>
        <w:numPr>
          <w:ilvl w:val="0"/>
          <w:numId w:val="15"/>
        </w:numPr>
        <w:ind w:right="0"/>
        <w:jc w:val="both"/>
        <w:spacing w:before="0" w:after="0"/>
        <w:rPr>
          <w:rFonts w:ascii="Tinos" w:hAnsi="Tinos" w:cs="Tinos"/>
          <w:color w:val="292c2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товарищества собственников жилья.</w:t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ind w:left="0" w:right="0" w:firstLine="0"/>
        <w:jc w:val="both"/>
        <w:spacing w:before="0" w:after="0" w:line="375" w:lineRule="atLeast"/>
        <w:shd w:val="clear" w:color="ffffff" w:fill="ffffff"/>
        <w:rPr>
          <w:rFonts w:ascii="Tinos" w:hAnsi="Tinos" w:cs="Tinos"/>
          <w:color w:val="292c2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ind w:left="0" w:right="0" w:firstLine="0"/>
        <w:jc w:val="both"/>
        <w:spacing w:before="0" w:after="0" w:line="375" w:lineRule="atLeast"/>
        <w:shd w:val="clear" w:color="ffffff" w:fill="ffffff"/>
        <w:rPr>
          <w:rFonts w:ascii="Tinos" w:hAnsi="Tinos" w:eastAsia="Tinos" w:cs="Tinos"/>
          <w:b w:val="0"/>
          <w:bCs w:val="0"/>
          <w:color w:val="292c2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929"/>
          <w:sz w:val="28"/>
          <w:szCs w:val="28"/>
        </w:rPr>
        <w:t xml:space="preserve">Договоры участия в долевом строительстве предоставляются на государственную регистрацию только в форме электронных документов. 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Подписанный собственноручными подписями </w:t>
      </w:r>
      <w:r>
        <w:rPr>
          <w:rFonts w:ascii="Tinos" w:hAnsi="Tinos" w:eastAsia="Tinos" w:cs="Tinos"/>
          <w:b w:val="0"/>
          <w:bCs w:val="0"/>
          <w:color w:val="292c2f"/>
          <w:sz w:val="28"/>
          <w:szCs w:val="28"/>
        </w:rPr>
        <w:t xml:space="preserve">скан-образ бумажного договора не является электронным документом</w:t>
      </w:r>
      <w:r>
        <w:rPr>
          <w:rFonts w:ascii="Tinos" w:hAnsi="Tinos" w:eastAsia="Tinos" w:cs="Tinos"/>
          <w:b w:val="0"/>
          <w:bCs w:val="0"/>
          <w:color w:val="292c2f"/>
          <w:sz w:val="28"/>
          <w:szCs w:val="28"/>
        </w:rPr>
        <w:t xml:space="preserve">.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color w:val="292c2f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375" w:lineRule="atLeast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jc w:val="both"/>
        <w:spacing w:before="0" w:after="0" w:line="375" w:lineRule="atLeast"/>
        <w:shd w:val="clear" w:color="ffffff" w:fill="ffffff"/>
        <w:rPr>
          <w:rFonts w:ascii="Tinos" w:hAnsi="Tinos" w:cs="Tinos"/>
          <w:color w:val="292c2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  <w:r>
        <w:rPr>
          <w:rFonts w:ascii="Tinos" w:hAnsi="Tinos" w:eastAsia="Tinos" w:cs="Tinos"/>
          <w:color w:val="292929"/>
          <w:sz w:val="28"/>
          <w:szCs w:val="28"/>
          <w:highlight w:val="white"/>
        </w:rPr>
        <w:t xml:space="preserve">Застройщики после подписания передаточного акта самостоятельно направляют заявления и документы для государственной регистрации права собственности участника долевого строительства в электронной форме. После завершения процедуры регистрации застройщик пере</w:t>
      </w:r>
      <w:r>
        <w:rPr>
          <w:rFonts w:ascii="Tinos" w:hAnsi="Tinos" w:eastAsia="Tinos" w:cs="Tinos"/>
          <w:color w:val="292929"/>
          <w:sz w:val="28"/>
          <w:szCs w:val="28"/>
          <w:highlight w:val="white"/>
        </w:rPr>
        <w:t xml:space="preserve">дает участнику долевого строительства выписку из Единого государственного реестра недвижимости.</w:t>
      </w: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  <w:r>
        <w:rPr>
          <w:rFonts w:ascii="Tinos" w:hAnsi="Tinos" w:cs="Tinos"/>
          <w:color w:val="292c2f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375" w:lineRule="atLeast"/>
        <w:shd w:val="clear" w:color="ffffff" w:fill="ffffff"/>
        <w:rPr>
          <w:rFonts w:ascii="Tinos" w:hAnsi="Tinos" w:cs="Tinos"/>
          <w:color w:val="292c2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  <w:r>
        <w:rPr>
          <w:rFonts w:ascii="Tinos" w:hAnsi="Tinos" w:cs="Tinos"/>
          <w:color w:val="292c2f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375" w:lineRule="atLeast"/>
        <w:shd w:val="clear" w:color="ffffff" w:fill="ffffff"/>
        <w:rPr>
          <w:rFonts w:ascii="Roboto" w:hAnsi="Roboto" w:eastAsia="Roboto" w:cs="Roboto"/>
          <w:color w:val="292c2f"/>
          <w:sz w:val="21"/>
          <w:szCs w:val="2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292c2f"/>
          <w:sz w:val="21"/>
        </w:rPr>
        <w:br/>
      </w:r>
      <w:r>
        <w:rPr>
          <w:rFonts w:ascii="Liberation Sans" w:hAnsi="Liberation Sans" w:eastAsia="Liberation Sans" w:cs="Liberation Sans"/>
          <w:sz w:val="27"/>
        </w:rPr>
      </w:r>
      <w:r>
        <w:rPr>
          <w:rFonts w:ascii="Roboto" w:hAnsi="Roboto" w:eastAsia="Roboto" w:cs="Roboto"/>
          <w:color w:val="292c2f"/>
          <w:sz w:val="21"/>
          <w:szCs w:val="21"/>
          <w:highlight w:val="none"/>
        </w:rPr>
      </w:r>
    </w:p>
    <w:p>
      <w:pPr>
        <w:pStyle w:val="687"/>
        <w:ind w:left="0" w:right="0" w:firstLine="0"/>
        <w:jc w:val="both"/>
        <w:spacing w:before="390" w:after="540" w:line="74" w:lineRule="atLeast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nos">
    <w:panose1 w:val="02020603050405020304"/>
  </w:font>
  <w:font w:name="Times New Roman">
    <w:panose1 w:val="02020603050405020304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11"/>
  </w:num>
  <w:num w:numId="10">
    <w:abstractNumId w:val="2"/>
  </w:num>
  <w:num w:numId="11">
    <w:abstractNumId w:val="7"/>
  </w:num>
  <w:num w:numId="12">
    <w:abstractNumId w:val="3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859"/>
    <w:link w:val="858"/>
    <w:uiPriority w:val="9"/>
    <w:rPr>
      <w:rFonts w:ascii="Arial" w:hAnsi="Arial" w:eastAsia="Arial" w:cs="Arial"/>
      <w:sz w:val="40"/>
      <w:szCs w:val="40"/>
    </w:rPr>
  </w:style>
  <w:style w:type="paragraph" w:styleId="685">
    <w:name w:val="Heading 2"/>
    <w:basedOn w:val="857"/>
    <w:next w:val="857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6">
    <w:name w:val="Heading 2 Char"/>
    <w:basedOn w:val="859"/>
    <w:link w:val="685"/>
    <w:uiPriority w:val="9"/>
    <w:rPr>
      <w:rFonts w:ascii="Arial" w:hAnsi="Arial" w:eastAsia="Arial" w:cs="Arial"/>
      <w:sz w:val="34"/>
    </w:rPr>
  </w:style>
  <w:style w:type="paragraph" w:styleId="687">
    <w:name w:val="Heading 3"/>
    <w:basedOn w:val="857"/>
    <w:next w:val="857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8">
    <w:name w:val="Heading 3 Char"/>
    <w:basedOn w:val="859"/>
    <w:link w:val="687"/>
    <w:uiPriority w:val="9"/>
    <w:rPr>
      <w:rFonts w:ascii="Arial" w:hAnsi="Arial" w:eastAsia="Arial" w:cs="Arial"/>
      <w:sz w:val="30"/>
      <w:szCs w:val="30"/>
    </w:rPr>
  </w:style>
  <w:style w:type="paragraph" w:styleId="689">
    <w:name w:val="Heading 4"/>
    <w:basedOn w:val="857"/>
    <w:next w:val="857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0">
    <w:name w:val="Heading 4 Char"/>
    <w:basedOn w:val="859"/>
    <w:link w:val="689"/>
    <w:uiPriority w:val="9"/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857"/>
    <w:next w:val="857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2">
    <w:name w:val="Heading 5 Char"/>
    <w:basedOn w:val="859"/>
    <w:link w:val="691"/>
    <w:uiPriority w:val="9"/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857"/>
    <w:next w:val="857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4">
    <w:name w:val="Heading 6 Char"/>
    <w:basedOn w:val="859"/>
    <w:link w:val="693"/>
    <w:uiPriority w:val="9"/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857"/>
    <w:next w:val="85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7 Char"/>
    <w:basedOn w:val="859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857"/>
    <w:next w:val="857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8">
    <w:name w:val="Heading 8 Char"/>
    <w:basedOn w:val="85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857"/>
    <w:next w:val="857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>
    <w:name w:val="Heading 9 Char"/>
    <w:basedOn w:val="859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Title"/>
    <w:basedOn w:val="857"/>
    <w:next w:val="857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59"/>
    <w:link w:val="701"/>
    <w:uiPriority w:val="10"/>
    <w:rPr>
      <w:sz w:val="48"/>
      <w:szCs w:val="48"/>
    </w:rPr>
  </w:style>
  <w:style w:type="paragraph" w:styleId="703">
    <w:name w:val="Subtitle"/>
    <w:basedOn w:val="857"/>
    <w:next w:val="857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59"/>
    <w:link w:val="703"/>
    <w:uiPriority w:val="11"/>
    <w:rPr>
      <w:sz w:val="24"/>
      <w:szCs w:val="24"/>
    </w:rPr>
  </w:style>
  <w:style w:type="paragraph" w:styleId="705">
    <w:name w:val="Quote"/>
    <w:basedOn w:val="857"/>
    <w:next w:val="857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7"/>
    <w:next w:val="857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paragraph" w:styleId="709">
    <w:name w:val="Header"/>
    <w:basedOn w:val="857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Header Char"/>
    <w:basedOn w:val="859"/>
    <w:link w:val="709"/>
    <w:uiPriority w:val="99"/>
  </w:style>
  <w:style w:type="paragraph" w:styleId="711">
    <w:name w:val="Footer"/>
    <w:basedOn w:val="857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Footer Char"/>
    <w:basedOn w:val="859"/>
    <w:link w:val="711"/>
    <w:uiPriority w:val="99"/>
  </w:style>
  <w:style w:type="paragraph" w:styleId="713">
    <w:name w:val="Caption"/>
    <w:basedOn w:val="857"/>
    <w:next w:val="8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711"/>
    <w:uiPriority w:val="99"/>
  </w:style>
  <w:style w:type="table" w:styleId="715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4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5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6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7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8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9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8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9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0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1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2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3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0">
    <w:name w:val="footnote text"/>
    <w:basedOn w:val="857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>
    <w:name w:val="Footnote Text Char"/>
    <w:link w:val="840"/>
    <w:uiPriority w:val="99"/>
    <w:rPr>
      <w:sz w:val="18"/>
    </w:rPr>
  </w:style>
  <w:style w:type="character" w:styleId="842">
    <w:name w:val="footnote reference"/>
    <w:basedOn w:val="859"/>
    <w:uiPriority w:val="99"/>
    <w:unhideWhenUsed/>
    <w:rPr>
      <w:vertAlign w:val="superscript"/>
    </w:rPr>
  </w:style>
  <w:style w:type="paragraph" w:styleId="843">
    <w:name w:val="endnote text"/>
    <w:basedOn w:val="85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>
    <w:name w:val="Endnote Text Char"/>
    <w:link w:val="843"/>
    <w:uiPriority w:val="99"/>
    <w:rPr>
      <w:sz w:val="20"/>
    </w:rPr>
  </w:style>
  <w:style w:type="character" w:styleId="845">
    <w:name w:val="endnote reference"/>
    <w:basedOn w:val="859"/>
    <w:uiPriority w:val="99"/>
    <w:semiHidden/>
    <w:unhideWhenUsed/>
    <w:rPr>
      <w:vertAlign w:val="superscript"/>
    </w:rPr>
  </w:style>
  <w:style w:type="paragraph" w:styleId="846">
    <w:name w:val="toc 1"/>
    <w:basedOn w:val="857"/>
    <w:next w:val="857"/>
    <w:uiPriority w:val="39"/>
    <w:unhideWhenUsed/>
    <w:pPr>
      <w:ind w:left="0" w:right="0" w:firstLine="0"/>
      <w:spacing w:after="57"/>
    </w:pPr>
  </w:style>
  <w:style w:type="paragraph" w:styleId="847">
    <w:name w:val="toc 2"/>
    <w:basedOn w:val="857"/>
    <w:next w:val="857"/>
    <w:uiPriority w:val="39"/>
    <w:unhideWhenUsed/>
    <w:pPr>
      <w:ind w:left="283" w:right="0" w:firstLine="0"/>
      <w:spacing w:after="57"/>
    </w:pPr>
  </w:style>
  <w:style w:type="paragraph" w:styleId="848">
    <w:name w:val="toc 3"/>
    <w:basedOn w:val="857"/>
    <w:next w:val="857"/>
    <w:uiPriority w:val="39"/>
    <w:unhideWhenUsed/>
    <w:pPr>
      <w:ind w:left="567" w:right="0" w:firstLine="0"/>
      <w:spacing w:after="57"/>
    </w:pPr>
  </w:style>
  <w:style w:type="paragraph" w:styleId="849">
    <w:name w:val="toc 4"/>
    <w:basedOn w:val="857"/>
    <w:next w:val="857"/>
    <w:uiPriority w:val="39"/>
    <w:unhideWhenUsed/>
    <w:pPr>
      <w:ind w:left="850" w:right="0" w:firstLine="0"/>
      <w:spacing w:after="57"/>
    </w:pPr>
  </w:style>
  <w:style w:type="paragraph" w:styleId="850">
    <w:name w:val="toc 5"/>
    <w:basedOn w:val="857"/>
    <w:next w:val="857"/>
    <w:uiPriority w:val="39"/>
    <w:unhideWhenUsed/>
    <w:pPr>
      <w:ind w:left="1134" w:right="0" w:firstLine="0"/>
      <w:spacing w:after="57"/>
    </w:pPr>
  </w:style>
  <w:style w:type="paragraph" w:styleId="851">
    <w:name w:val="toc 6"/>
    <w:basedOn w:val="857"/>
    <w:next w:val="857"/>
    <w:uiPriority w:val="39"/>
    <w:unhideWhenUsed/>
    <w:pPr>
      <w:ind w:left="1417" w:right="0" w:firstLine="0"/>
      <w:spacing w:after="57"/>
    </w:pPr>
  </w:style>
  <w:style w:type="paragraph" w:styleId="852">
    <w:name w:val="toc 7"/>
    <w:basedOn w:val="857"/>
    <w:next w:val="857"/>
    <w:uiPriority w:val="39"/>
    <w:unhideWhenUsed/>
    <w:pPr>
      <w:ind w:left="1701" w:right="0" w:firstLine="0"/>
      <w:spacing w:after="57"/>
    </w:pPr>
  </w:style>
  <w:style w:type="paragraph" w:styleId="853">
    <w:name w:val="toc 8"/>
    <w:basedOn w:val="857"/>
    <w:next w:val="857"/>
    <w:uiPriority w:val="39"/>
    <w:unhideWhenUsed/>
    <w:pPr>
      <w:ind w:left="1984" w:right="0" w:firstLine="0"/>
      <w:spacing w:after="57"/>
    </w:pPr>
  </w:style>
  <w:style w:type="paragraph" w:styleId="854">
    <w:name w:val="toc 9"/>
    <w:basedOn w:val="857"/>
    <w:next w:val="857"/>
    <w:uiPriority w:val="39"/>
    <w:unhideWhenUsed/>
    <w:pPr>
      <w:ind w:left="2268" w:right="0" w:firstLine="0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857"/>
    <w:next w:val="857"/>
    <w:uiPriority w:val="99"/>
    <w:unhideWhenUsed/>
    <w:pPr>
      <w:spacing w:after="0" w:afterAutospacing="0"/>
    </w:pPr>
  </w:style>
  <w:style w:type="paragraph" w:styleId="857" w:default="1">
    <w:name w:val="Normal"/>
    <w:qFormat/>
  </w:style>
  <w:style w:type="paragraph" w:styleId="858">
    <w:name w:val="Heading 1"/>
    <w:basedOn w:val="857"/>
    <w:next w:val="857"/>
    <w:link w:val="865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paragraph" w:styleId="862">
    <w:name w:val="Balloon Text"/>
    <w:basedOn w:val="857"/>
    <w:link w:val="86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3" w:customStyle="1">
    <w:name w:val="Текст выноски Знак"/>
    <w:basedOn w:val="859"/>
    <w:link w:val="862"/>
    <w:uiPriority w:val="99"/>
    <w:semiHidden/>
    <w:rPr>
      <w:rFonts w:ascii="Segoe UI" w:hAnsi="Segoe UI" w:cs="Segoe UI"/>
      <w:sz w:val="18"/>
      <w:szCs w:val="18"/>
    </w:rPr>
  </w:style>
  <w:style w:type="paragraph" w:styleId="864">
    <w:name w:val="No Spacing"/>
    <w:uiPriority w:val="1"/>
    <w:qFormat/>
    <w:pPr>
      <w:spacing w:after="0" w:line="240" w:lineRule="auto"/>
    </w:pPr>
  </w:style>
  <w:style w:type="character" w:styleId="865" w:customStyle="1">
    <w:name w:val="Заголовок 1 Знак"/>
    <w:basedOn w:val="859"/>
    <w:link w:val="858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6">
    <w:name w:val="List Paragraph"/>
    <w:basedOn w:val="857"/>
    <w:uiPriority w:val="34"/>
    <w:qFormat/>
    <w:pPr>
      <w:contextualSpacing/>
      <w:ind w:left="720"/>
      <w:spacing w:line="256" w:lineRule="auto"/>
    </w:pPr>
  </w:style>
  <w:style w:type="character" w:styleId="867">
    <w:name w:val="Hyperlink"/>
    <w:basedOn w:val="859"/>
    <w:uiPriority w:val="99"/>
    <w:unhideWhenUsed/>
    <w:rPr>
      <w:color w:val="0563c1" w:themeColor="hyperlink"/>
      <w:u w:val="single"/>
    </w:rPr>
  </w:style>
  <w:style w:type="character" w:styleId="868">
    <w:name w:val="annotation reference"/>
    <w:basedOn w:val="859"/>
    <w:uiPriority w:val="99"/>
    <w:semiHidden/>
    <w:unhideWhenUsed/>
    <w:rPr>
      <w:sz w:val="16"/>
      <w:szCs w:val="16"/>
    </w:rPr>
  </w:style>
  <w:style w:type="paragraph" w:styleId="869">
    <w:name w:val="annotation text"/>
    <w:basedOn w:val="857"/>
    <w:link w:val="87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0" w:customStyle="1">
    <w:name w:val="Текст примечания Знак"/>
    <w:basedOn w:val="859"/>
    <w:link w:val="869"/>
    <w:uiPriority w:val="99"/>
    <w:semiHidden/>
    <w:rPr>
      <w:sz w:val="20"/>
      <w:szCs w:val="20"/>
    </w:rPr>
  </w:style>
  <w:style w:type="paragraph" w:styleId="871">
    <w:name w:val="annotation subject"/>
    <w:basedOn w:val="869"/>
    <w:next w:val="869"/>
    <w:link w:val="872"/>
    <w:uiPriority w:val="99"/>
    <w:semiHidden/>
    <w:unhideWhenUsed/>
    <w:rPr>
      <w:b/>
      <w:bCs/>
    </w:rPr>
  </w:style>
  <w:style w:type="character" w:styleId="872" w:customStyle="1">
    <w:name w:val="Тема примечания Знак"/>
    <w:basedOn w:val="870"/>
    <w:link w:val="871"/>
    <w:uiPriority w:val="99"/>
    <w:semiHidden/>
    <w:rPr>
      <w:b/>
      <w:bCs/>
      <w:sz w:val="20"/>
      <w:szCs w:val="20"/>
    </w:rPr>
  </w:style>
  <w:style w:type="table" w:styleId="873">
    <w:name w:val="Table Grid"/>
    <w:basedOn w:val="86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publication.pravo.gov.ru/document/0001202412260014?index=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revision>8</cp:revision>
  <dcterms:created xsi:type="dcterms:W3CDTF">2024-10-24T09:04:00Z</dcterms:created>
  <dcterms:modified xsi:type="dcterms:W3CDTF">2025-06-24T12:03:12Z</dcterms:modified>
</cp:coreProperties>
</file>