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709"/>
        <w:jc w:val="center"/>
        <w:spacing w:line="240" w:lineRule="auto"/>
        <w:rPr>
          <w:sz w:val="4"/>
        </w:rPr>
      </w:pPr>
      <w:r>
        <w:rPr>
          <w:sz w:val="4"/>
        </w:rPr>
        <w:t xml:space="preserve"> </w:t>
      </w:r>
      <w:r>
        <w:rPr>
          <w:sz w:val="4"/>
        </w:rPr>
      </w:r>
      <w:r>
        <w:rPr>
          <w:sz w:val="4"/>
        </w:rPr>
      </w:r>
    </w:p>
    <w:p>
      <w:pPr>
        <w:ind w:left="-108" w:right="-108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4"/>
        <w:gridCol w:w="849"/>
        <w:gridCol w:w="851"/>
        <w:gridCol w:w="3969"/>
      </w:tblGrid>
      <w:tr>
        <w:tblPrEx/>
        <w:trPr>
          <w:cantSplit/>
          <w:trHeight w:val="168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4" w:type="dxa"/>
            <w:textDirection w:val="lrTb"/>
            <w:noWrap w:val="false"/>
          </w:tcPr>
          <w:p>
            <w:pPr>
              <w:pStyle w:val="754"/>
              <w:numPr>
                <w:ilvl w:val="0"/>
                <w:numId w:val="10"/>
              </w:numPr>
              <w:ind w:left="0" w:right="-108" w:firstLine="0"/>
              <w:jc w:val="right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108" w:right="-108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КОМИТЕТ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108" w:right="-108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АДЫГЕЯ ПО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108" w:right="-108"/>
              <w:jc w:val="center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АРХИТЕКТУРЕ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И ГРАДОСТРОИТЕЛЬСТВУ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ind w:left="-109" w:right="-108"/>
              <w:spacing w:line="240" w:lineRule="auto"/>
              <w:rPr>
                <w:sz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1" allowOverlap="1">
                      <wp:simplePos x="0" y="0"/>
                      <wp:positionH relativeFrom="margin">
                        <wp:posOffset>-10795</wp:posOffset>
                      </wp:positionH>
                      <wp:positionV relativeFrom="paragraph">
                        <wp:posOffset>363855</wp:posOffset>
                      </wp:positionV>
                      <wp:extent cx="821690" cy="820420"/>
                      <wp:effectExtent l="0" t="0" r="0" b="0"/>
                      <wp:wrapNone/>
                      <wp:docPr id="1" name="_x0000_s10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s102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1689" cy="820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524288;o:allowoverlap:true;o:allowincell:true;mso-position-horizontal-relative:margin;margin-left:-0.85pt;mso-position-horizontal:absolute;mso-position-vertical-relative:text;margin-top:28.65pt;mso-position-vertical:absolute;width:64.70pt;height:64.60pt;mso-wrap-distance-left:9.05pt;mso-wrap-distance-top:0.00pt;mso-wrap-distance-right:9.05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textDirection w:val="lrTb"/>
            <w:noWrap w:val="false"/>
          </w:tcPr>
          <w:p>
            <w:pPr>
              <w:ind w:left="-108" w:right="-108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АДЫГЭ РЕСПУБЛИКЭМ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АРХИТЕКТУРЭМРЭ КЪЭЛЭГЪЭПСЫНЫМРЭК</w:t>
            </w:r>
            <w:r>
              <w:rPr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b/>
                <w:sz w:val="24"/>
                <w:szCs w:val="24"/>
              </w:rPr>
              <w:t xml:space="preserve">Э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108" w:right="-108"/>
              <w:jc w:val="center"/>
              <w:spacing w:line="240" w:lineRule="auto"/>
            </w:pPr>
            <w:r>
              <w:rPr>
                <w:b/>
                <w:sz w:val="24"/>
                <w:szCs w:val="24"/>
              </w:rPr>
              <w:t xml:space="preserve">И КОМИТЕТ</w:t>
            </w:r>
            <w:r/>
          </w:p>
        </w:tc>
      </w:tr>
      <w:tr>
        <w:tblPrEx/>
        <w:trPr>
          <w:cantSplit/>
          <w:trHeight w:val="579" w:hRule="exact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ind w:right="742" w:firstLine="3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Краснооктябрьская ул., д. 12,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42" w:firstLine="3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Майкоп, 385000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ind w:firstLine="885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Краснооктябрьскэм ур., 12,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885"/>
              <w:jc w:val="center"/>
              <w:spacing w:line="240" w:lineRule="auto"/>
            </w:pPr>
            <w:r>
              <w:rPr>
                <w:sz w:val="24"/>
                <w:szCs w:val="24"/>
              </w:rPr>
              <w:t xml:space="preserve">къ. Мыекъуапэ, 385000</w:t>
            </w:r>
            <w:r/>
          </w:p>
        </w:tc>
      </w:tr>
      <w:tr>
        <w:tblPrEx/>
        <w:trPr>
          <w:cantSplit/>
          <w:trHeight w:val="276" w:hRule="exact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тел./факс (8772) 52-47-12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тел./факс (8772) 52-47-12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  <w:lang w:val="en-US"/>
              </w:rPr>
              <w:t xml:space="preserve">–mail: </w:t>
            </w:r>
            <w:r>
              <w:rPr>
                <w:sz w:val="24"/>
                <w:szCs w:val="24"/>
                <w:lang w:val="en-US"/>
              </w:rPr>
              <w:t xml:space="preserve">komarch@adygheya.gov.ru</w:t>
            </w:r>
            <w:r>
              <w:rPr>
                <w:sz w:val="24"/>
                <w:szCs w:val="24"/>
                <w:lang w:val="en-US"/>
                <w14:ligatures w14:val="none"/>
              </w:rPr>
            </w:r>
            <w:r>
              <w:rPr>
                <w:sz w:val="24"/>
                <w:szCs w:val="24"/>
                <w:lang w:val="en-US"/>
                <w14:ligatures w14:val="none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  <w14:ligatures w14:val="none"/>
              </w:rPr>
            </w:r>
            <w:r>
              <w:rPr>
                <w:sz w:val="24"/>
                <w:szCs w:val="24"/>
                <w:lang w:val="en-US"/>
                <w14:ligatures w14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  <w:lang w:val="en-US"/>
              </w:rPr>
              <w:t xml:space="preserve">–mail: </w:t>
            </w:r>
            <w:r>
              <w:rPr>
                <w:sz w:val="24"/>
                <w:szCs w:val="24"/>
                <w:lang w:val="en-US"/>
              </w:rPr>
              <w:t xml:space="preserve">komarch@adygheya.gov.ru</w:t>
            </w:r>
            <w:r>
              <w:rPr>
                <w:sz w:val="24"/>
                <w:szCs w:val="24"/>
                <w:lang w:val="en-US"/>
                <w14:ligatures w14:val="none"/>
              </w:rPr>
            </w:r>
            <w:r>
              <w:rPr>
                <w:sz w:val="24"/>
                <w:szCs w:val="24"/>
                <w:lang w:val="en-US"/>
                <w14:ligatures w14:val="none"/>
              </w:rPr>
            </w:r>
          </w:p>
        </w:tc>
      </w:tr>
    </w:tbl>
    <w:p>
      <w:pPr>
        <w:pStyle w:val="761"/>
        <w:ind w:left="3600" w:firstLine="0"/>
        <w:spacing w:before="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761"/>
        <w:ind w:left="3600" w:firstLine="0"/>
        <w:spacing w:before="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761"/>
        <w:ind w:left="3600" w:firstLine="0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 w:val="0"/>
          <w:sz w:val="28"/>
          <w:szCs w:val="28"/>
        </w:rPr>
        <w:t xml:space="preserve">П Р И К А З № 22-ГПУ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«27» февраля 202</w:t>
      </w:r>
      <w:r>
        <w:rPr>
          <w:sz w:val="28"/>
          <w:szCs w:val="28"/>
        </w:rPr>
        <w:t xml:space="preserve">6 года                                                                     г. Майкоп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19"/>
        <w:ind w:right="-1"/>
        <w:jc w:val="center"/>
        <w:spacing w:line="240" w:lineRule="auto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</w:r>
      <w:r>
        <w:rPr>
          <w:rFonts w:ascii="Times New Roman" w:hAnsi="Times New Roman" w:cs="Times New Roman"/>
          <w:b w:val="0"/>
          <w:sz w:val="26"/>
          <w:szCs w:val="26"/>
        </w:rPr>
      </w:r>
      <w:r>
        <w:rPr>
          <w:rFonts w:ascii="Times New Roman" w:hAnsi="Times New Roman" w:cs="Times New Roman"/>
          <w:b w:val="0"/>
          <w:sz w:val="26"/>
          <w:szCs w:val="26"/>
        </w:rPr>
      </w:r>
    </w:p>
    <w:p>
      <w:pPr>
        <w:ind w:firstLine="540"/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center"/>
        <w:spacing w:line="240" w:lineRule="auto"/>
        <w:rPr>
          <w:b/>
          <w:sz w:val="28"/>
          <w:szCs w:val="28"/>
        </w:rPr>
      </w:pPr>
      <w:r/>
      <w:bookmarkStart w:id="0" w:name="undefined"/>
      <w:r>
        <w:rPr>
          <w:b/>
          <w:sz w:val="28"/>
          <w:szCs w:val="28"/>
        </w:rPr>
        <w:t xml:space="preserve">Об утверждении изменений 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</w:t>
      </w:r>
      <w:r>
        <w:rPr>
          <w:b/>
          <w:sz w:val="28"/>
          <w:szCs w:val="28"/>
        </w:rPr>
        <w:t xml:space="preserve">енеральн</w:t>
      </w:r>
      <w:r>
        <w:rPr>
          <w:b/>
          <w:sz w:val="28"/>
          <w:szCs w:val="28"/>
        </w:rPr>
        <w:t xml:space="preserve">ый</w:t>
      </w:r>
      <w:r>
        <w:rPr>
          <w:b/>
          <w:sz w:val="28"/>
          <w:szCs w:val="28"/>
        </w:rPr>
        <w:t xml:space="preserve"> план муниципального о</w:t>
      </w:r>
      <w:r>
        <w:rPr>
          <w:b/>
          <w:sz w:val="28"/>
          <w:szCs w:val="28"/>
        </w:rPr>
        <w:t xml:space="preserve">бразования «</w:t>
      </w:r>
      <w:bookmarkEnd w:id="0"/>
      <w:r>
        <w:rPr>
          <w:b/>
          <w:sz w:val="28"/>
          <w:szCs w:val="28"/>
        </w:rPr>
        <w:t xml:space="preserve">Тлюстенхабльское городское поселение Теучежского </w:t>
      </w:r>
      <w:r>
        <w:rPr>
          <w:b/>
          <w:sz w:val="28"/>
          <w:szCs w:val="28"/>
        </w:rPr>
        <w:t xml:space="preserve">муниципального района Республики Адыгея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53"/>
        <w:ind w:firstLine="540"/>
        <w:jc w:val="center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53"/>
        <w:ind w:firstLine="540"/>
        <w:jc w:val="center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53"/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</w:t>
      </w:r>
      <w:r>
        <w:rPr>
          <w:sz w:val="28"/>
          <w:szCs w:val="28"/>
        </w:rPr>
        <w:t xml:space="preserve">о статьями 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23-25</w:t>
      </w:r>
      <w:r>
        <w:rPr>
          <w:sz w:val="28"/>
          <w:szCs w:val="28"/>
        </w:rPr>
        <w:t xml:space="preserve"> 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пунктом 1 статьи 2 </w:t>
      </w:r>
      <w:r>
        <w:rPr>
          <w:sz w:val="28"/>
          <w:szCs w:val="28"/>
        </w:rPr>
        <w:t xml:space="preserve">Закона Республики Адыгея от 4 августа 2021 г. № 490 «О перераспределении о</w:t>
      </w:r>
      <w:r>
        <w:rPr>
          <w:sz w:val="28"/>
          <w:szCs w:val="28"/>
        </w:rPr>
        <w:t xml:space="preserve">тдельных полномочий в области градостроительной деятельности между органами местного самоуправления и органами государственной власти Республики Адыгея»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подпунктом 32 пункта 1 раздела III Положения о Комитете Республики Адыгея по архитектуре и градостроительству, утвержденного постан</w:t>
      </w:r>
      <w:r>
        <w:rPr>
          <w:sz w:val="28"/>
          <w:szCs w:val="28"/>
        </w:rPr>
        <w:t xml:space="preserve">овлени</w:t>
      </w:r>
      <w:r>
        <w:rPr>
          <w:sz w:val="28"/>
          <w:szCs w:val="28"/>
        </w:rPr>
        <w:t xml:space="preserve">ем Кабинета Министров Республики Адыгея от 4 июня 2007г. № 94</w:t>
      </w:r>
      <w:r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риказа Комитета Республики Адыгея по архитектуре и градостроительству </w:t>
      </w:r>
      <w:r>
        <w:rPr>
          <w:sz w:val="28"/>
          <w:szCs w:val="28"/>
        </w:rPr>
        <w:t xml:space="preserve">от 17.02.2025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№1-ГП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подготовке проектов внесен</w:t>
      </w:r>
      <w:r>
        <w:rPr>
          <w:sz w:val="28"/>
          <w:szCs w:val="28"/>
        </w:rPr>
        <w:t xml:space="preserve">ия изменений в генеральный план муниципального образования «Тлюстенхабльское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center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numPr>
          <w:ilvl w:val="0"/>
          <w:numId w:val="28"/>
        </w:numPr>
        <w:ind w:left="0"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изменения в Генеральный план муниципального образования </w:t>
      </w:r>
      <w:r>
        <w:rPr>
          <w:sz w:val="28"/>
          <w:szCs w:val="28"/>
        </w:rPr>
        <w:t xml:space="preserve">«Тлюстенхабльское го</w:t>
      </w:r>
      <w:r>
        <w:rPr>
          <w:sz w:val="28"/>
          <w:szCs w:val="28"/>
        </w:rPr>
        <w:t xml:space="preserve">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утвержденный Решением Совета народных депутатов муниципального образования «Тлюстенхабльское городское поселение» от 29.06.2018 № 71</w:t>
      </w:r>
      <w:r>
        <w:rPr>
          <w:sz w:val="28"/>
          <w:szCs w:val="28"/>
        </w:rPr>
        <w:t xml:space="preserve">, изложив в новой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оложени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 т</w:t>
      </w:r>
      <w:r>
        <w:rPr>
          <w:sz w:val="28"/>
          <w:szCs w:val="28"/>
        </w:rPr>
        <w:t xml:space="preserve">ерриториальном планировании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«Тлюстенхабльское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, согласно </w:t>
      </w:r>
      <w:r>
        <w:rPr>
          <w:sz w:val="28"/>
          <w:szCs w:val="28"/>
        </w:rPr>
        <w:t xml:space="preserve">приложению № 1 к настоящему приказу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карт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функциональных зон </w:t>
      </w:r>
      <w:bookmarkStart w:id="0" w:name="undefined"/>
      <w:r>
        <w:rPr>
          <w:sz w:val="28"/>
          <w:szCs w:val="28"/>
        </w:rPr>
        <w:t xml:space="preserve">муниципального образования </w:t>
      </w:r>
      <w:bookmarkEnd w:id="0"/>
      <w:r>
        <w:rPr>
          <w:sz w:val="28"/>
          <w:szCs w:val="28"/>
        </w:rPr>
        <w:t xml:space="preserve">«Тлюстенхабл</w:t>
      </w:r>
      <w:r>
        <w:rPr>
          <w:sz w:val="28"/>
          <w:szCs w:val="28"/>
        </w:rPr>
        <w:t xml:space="preserve">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, </w:t>
      </w:r>
      <w:bookmarkStart w:id="0" w:name="undefined"/>
      <w:r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к настоящему приказу</w:t>
      </w:r>
      <w:bookmarkEnd w:id="0"/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карт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планируемого размещения объектов местного значения </w:t>
      </w:r>
      <w:bookmarkStart w:id="0" w:name="undefined"/>
      <w:r>
        <w:rPr>
          <w:sz w:val="28"/>
          <w:szCs w:val="28"/>
        </w:rPr>
        <w:t xml:space="preserve">муниципального образования </w:t>
      </w:r>
      <w:bookmarkEnd w:id="0"/>
      <w:r>
        <w:rPr>
          <w:sz w:val="28"/>
          <w:szCs w:val="28"/>
        </w:rPr>
        <w:t xml:space="preserve">«Тлюстенхабльское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к настоящему приказу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карт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границ населенных пунктов (в том числе границ образуемых </w:t>
      </w:r>
      <w:r>
        <w:rPr>
          <w:sz w:val="28"/>
          <w:szCs w:val="28"/>
        </w:rPr>
        <w:t xml:space="preserve">населенных</w:t>
      </w:r>
      <w:r>
        <w:rPr>
          <w:sz w:val="28"/>
          <w:szCs w:val="28"/>
        </w:rPr>
        <w:t xml:space="preserve"> пунктов), входящих в состав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«Тлюстенхабльское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к настоящему приказу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настоящий приказ на официальном Интернет-сайте исполнительных органов государственной власти Республики Адыгея (http://adygheya.ru).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Направить настоящий приказ Главе муниципального образования </w:t>
      </w:r>
      <w:r>
        <w:rPr>
          <w:sz w:val="28"/>
          <w:szCs w:val="28"/>
        </w:rPr>
        <w:t xml:space="preserve">«Тлюстенхабльское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в порядке, установленном для опубликования правовых актов, иной официальной информации и размещения на официальном сайте в сети Интернет.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Разместить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енеральный план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«Тлюстенхабльское городское поселение Теучежского муниципального района Республики Адыгея»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редакции настоящего приказа в федеральной государственной информационной системе территориального планирования не позднее чем по истечении десяти дней с даты подписания настоящего приказа.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6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Настоящий приказ вступает в силу со дня его 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ind w:firstLine="54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редседател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3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Комитета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А.Н. Зезарахов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53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3"/>
        <w:ind w:firstLine="540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tabs>
          <w:tab w:val="left" w:pos="850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tabs>
          <w:tab w:val="left" w:pos="850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tabs>
          <w:tab w:val="left" w:pos="850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tabs>
          <w:tab w:val="left" w:pos="850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tabs>
          <w:tab w:val="left" w:pos="850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к Приказу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от 27.02.2026г. № 22-ГПУ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ВНЕСЕНИЕ ИЗМЕНЕНИЙ В ГЕНЕРАЛЬНЫЙ ПЛАН </w:t>
      </w: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 w:val="44"/>
          <w:szCs w:val="44"/>
        </w:rPr>
        <w:t xml:space="preserve">МУНИЦИПАЛЬНОГО ОБРАЗОВАНИЯ «</w:t>
      </w:r>
      <w:r>
        <w:rPr>
          <w:rFonts w:eastAsia="Times New Roman" w:cs="Times New Roman"/>
          <w:b/>
          <w:sz w:val="44"/>
          <w:szCs w:val="44"/>
        </w:rPr>
        <w:t xml:space="preserve">Тлюстенхабльское</w:t>
      </w:r>
      <w:r>
        <w:rPr>
          <w:rFonts w:eastAsia="Times New Roman" w:cs="Times New Roman"/>
          <w:b/>
          <w:sz w:val="44"/>
          <w:szCs w:val="44"/>
        </w:rPr>
        <w:t xml:space="preserve"> городское поселение» </w:t>
      </w:r>
      <w:r>
        <w:rPr>
          <w:rFonts w:eastAsia="Times New Roman" w:cs="Times New Roman"/>
          <w:b/>
          <w:sz w:val="44"/>
          <w:szCs w:val="44"/>
        </w:rPr>
        <w:t xml:space="preserve">Теучежского</w:t>
      </w:r>
      <w:r>
        <w:rPr>
          <w:rFonts w:eastAsia="Times New Roman" w:cs="Times New Roman"/>
          <w:b/>
          <w:sz w:val="44"/>
          <w:szCs w:val="44"/>
        </w:rPr>
        <w:t xml:space="preserve"> муниципального района Республики Адыгея</w:t>
      </w: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  <w:r>
        <w:rPr>
          <w:rFonts w:eastAsia="Times New Roman" w:cs="Times New Roman"/>
          <w:szCs w:val="20"/>
        </w:rPr>
      </w:r>
    </w:p>
    <w:p>
      <w:pPr>
        <w:ind w:right="-6"/>
        <w:jc w:val="center"/>
        <w:spacing w:line="240" w:lineRule="auto"/>
        <w:shd w:val="clear" w:color="auto" w:fill="ffffff"/>
        <w:rPr>
          <w:rFonts w:eastAsia="Times New Roman" w:cs="Times New Roman"/>
          <w:b/>
          <w:bCs/>
          <w:sz w:val="26"/>
          <w:szCs w:val="26"/>
        </w:rPr>
      </w:pPr>
      <w:r>
        <w:rPr>
          <w:b/>
          <w:bCs/>
          <w:u w:val="single"/>
        </w:rPr>
        <w:t xml:space="preserve">ЧАСТЬ 1.</w:t>
      </w:r>
      <w:r>
        <w:rPr>
          <w:b/>
          <w:bCs/>
        </w:rPr>
        <w:t xml:space="preserve">  </w:t>
      </w:r>
      <w:r>
        <w:rPr>
          <w:rFonts w:eastAsia="Times New Roman" w:cs="Times New Roman"/>
          <w:b/>
          <w:bCs/>
          <w:sz w:val="26"/>
          <w:szCs w:val="26"/>
        </w:rPr>
        <w:t xml:space="preserve">ПОЛОЖЕНИЕ</w:t>
      </w:r>
      <w:r>
        <w:rPr>
          <w:rFonts w:eastAsia="Times New Roman" w:cs="Times New Roman"/>
          <w:b/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 xml:space="preserve">О ТЕРРИТОРИАЛЬНОМ ПЛАНИРОВАНИИ</w:t>
      </w:r>
      <w:r>
        <w:rPr>
          <w:rFonts w:eastAsia="Times New Roman" w:cs="Times New Roman"/>
          <w:b/>
          <w:bCs/>
          <w:sz w:val="26"/>
          <w:szCs w:val="26"/>
        </w:rPr>
      </w:r>
      <w:r>
        <w:rPr>
          <w:rFonts w:eastAsia="Times New Roman" w:cs="Times New Roman"/>
          <w:b/>
          <w:bCs/>
          <w:sz w:val="26"/>
          <w:szCs w:val="26"/>
        </w:rPr>
      </w:r>
    </w:p>
    <w:p>
      <w:pPr>
        <w:spacing w:line="240" w:lineRule="auto"/>
        <w:rPr>
          <w:rFonts w:cs="Times New Roman" w:eastAsiaTheme="minorHAnsi"/>
          <w:sz w:val="22"/>
          <w:szCs w:val="22"/>
          <w:lang w:eastAsia="en-US"/>
        </w:rPr>
      </w:pPr>
      <w:r>
        <w:rPr>
          <w:rFonts w:cs="Times New Roman" w:eastAsiaTheme="minorHAnsi"/>
          <w:sz w:val="22"/>
          <w:szCs w:val="22"/>
          <w:lang w:eastAsia="en-US"/>
        </w:rPr>
      </w:r>
      <w:r>
        <w:rPr>
          <w:rFonts w:cs="Times New Roman" w:eastAsiaTheme="minorHAnsi"/>
          <w:sz w:val="22"/>
          <w:szCs w:val="22"/>
          <w:lang w:eastAsia="en-US"/>
        </w:rPr>
      </w:r>
      <w:r>
        <w:rPr>
          <w:rFonts w:cs="Times New Roman" w:eastAsiaTheme="minorHAnsi"/>
          <w:sz w:val="22"/>
          <w:szCs w:val="22"/>
          <w:lang w:eastAsia="en-US"/>
        </w:rPr>
      </w:r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240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pStyle w:val="754"/>
        <w:numPr>
          <w:ilvl w:val="0"/>
          <w:numId w:val="0"/>
        </w:numPr>
        <w:ind w:left="360"/>
        <w:spacing w:line="240" w:lineRule="auto"/>
      </w:pPr>
      <w:r/>
      <w:r/>
    </w:p>
    <w:p>
      <w:pPr>
        <w:jc w:val="center"/>
        <w:spacing w:line="240" w:lineRule="auto"/>
        <w:rPr>
          <w:b/>
          <w:bCs/>
        </w:rPr>
      </w:pPr>
      <w:r>
        <w:rPr>
          <w:b/>
          <w:bCs/>
        </w:rPr>
        <w:t xml:space="preserve">2026 год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33"/>
        <w:jc w:val="both"/>
        <w:spacing w:line="240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5"/>
        <w:jc w:val="center"/>
        <w:spacing w:line="240" w:lineRule="auto"/>
        <w:rPr>
          <w:rFonts w:hAnsi="Times New Roman"/>
          <w:b/>
          <w:bCs/>
          <w:color w:val="auto"/>
          <w:sz w:val="24"/>
          <w:szCs w:val="24"/>
          <w:lang w:eastAsia="ru-RU"/>
        </w:rPr>
      </w:pPr>
      <w:r/>
      <w:bookmarkStart w:id="0" w:name="undefined"/>
      <w:r>
        <w:rPr>
          <w:rFonts w:hAnsi="Times New Roman"/>
          <w:b/>
          <w:bCs/>
          <w:color w:val="auto"/>
          <w:sz w:val="24"/>
          <w:szCs w:val="24"/>
        </w:rPr>
        <w:t xml:space="preserve">ВВЕДЕНИЕ</w:t>
      </w:r>
      <w:r>
        <w:rPr>
          <w:rFonts w:hAnsi="Times New Roman"/>
          <w:b/>
          <w:bCs/>
          <w:color w:val="auto"/>
          <w:sz w:val="24"/>
          <w:szCs w:val="24"/>
          <w:lang w:eastAsia="ru-RU"/>
        </w:rPr>
      </w:r>
      <w:r>
        <w:rPr>
          <w:rFonts w:hAnsi="Times New Roman"/>
          <w:b/>
          <w:bCs/>
          <w:color w:val="auto"/>
          <w:sz w:val="24"/>
          <w:szCs w:val="24"/>
          <w:lang w:eastAsia="ru-RU"/>
        </w:rPr>
      </w:r>
    </w:p>
    <w:p>
      <w:pPr>
        <w:pStyle w:val="1133"/>
        <w:ind w:firstLine="709"/>
        <w:jc w:val="both"/>
        <w:spacing w:line="240" w:lineRule="auto"/>
        <w:shd w:val="clear" w:color="auto" w:fill="ffffff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Генеральный план муниципального образования «</w:t>
      </w:r>
      <w:r>
        <w:rPr>
          <w:spacing w:val="-1"/>
          <w:sz w:val="24"/>
          <w:szCs w:val="24"/>
        </w:rPr>
        <w:t xml:space="preserve">Тлюстенхабльское</w:t>
      </w:r>
      <w:r>
        <w:rPr>
          <w:spacing w:val="-1"/>
          <w:sz w:val="24"/>
          <w:szCs w:val="24"/>
        </w:rPr>
        <w:t xml:space="preserve"> городское поселение» </w:t>
      </w:r>
      <w:r>
        <w:rPr>
          <w:spacing w:val="-1"/>
          <w:sz w:val="24"/>
          <w:szCs w:val="24"/>
        </w:rPr>
        <w:t xml:space="preserve">Теучежского</w:t>
      </w:r>
      <w:r>
        <w:rPr>
          <w:spacing w:val="-1"/>
          <w:sz w:val="24"/>
          <w:szCs w:val="24"/>
        </w:rPr>
        <w:t xml:space="preserve"> района Республики Адыгея </w:t>
      </w:r>
      <w:bookmarkEnd w:id="0"/>
      <w:r>
        <w:rPr>
          <w:spacing w:val="-1"/>
          <w:sz w:val="24"/>
          <w:szCs w:val="24"/>
        </w:rPr>
        <w:t xml:space="preserve">Российской Федерации был разработан и утверждён Решением Совета народных депутатов муниципального образования «</w:t>
      </w:r>
      <w:r>
        <w:rPr>
          <w:spacing w:val="-1"/>
          <w:sz w:val="24"/>
          <w:szCs w:val="24"/>
        </w:rPr>
        <w:t xml:space="preserve">Тлюстенхабльское</w:t>
      </w:r>
      <w:r>
        <w:rPr>
          <w:spacing w:val="-1"/>
          <w:sz w:val="24"/>
          <w:szCs w:val="24"/>
        </w:rPr>
        <w:t xml:space="preserve"> городское поселение» </w:t>
      </w:r>
      <w:r>
        <w:rPr>
          <w:spacing w:val="-1"/>
          <w:sz w:val="24"/>
          <w:szCs w:val="24"/>
          <w:u w:val="single"/>
        </w:rPr>
        <w:t xml:space="preserve">от 29 </w:t>
      </w:r>
      <w:r>
        <w:rPr>
          <w:spacing w:val="-1"/>
          <w:sz w:val="24"/>
          <w:szCs w:val="24"/>
          <w:u w:val="single"/>
        </w:rPr>
        <w:t xml:space="preserve">июня 2018 года</w:t>
      </w:r>
      <w:r>
        <w:rPr>
          <w:spacing w:val="-1"/>
          <w:sz w:val="24"/>
          <w:szCs w:val="24"/>
          <w:u w:val="single"/>
        </w:rPr>
        <w:t xml:space="preserve"> г. № </w:t>
      </w:r>
      <w:r>
        <w:rPr>
          <w:spacing w:val="-1"/>
          <w:sz w:val="24"/>
          <w:szCs w:val="24"/>
          <w:u w:val="single"/>
        </w:rPr>
        <w:t xml:space="preserve">71</w:t>
      </w:r>
      <w:r>
        <w:rPr>
          <w:spacing w:val="-1"/>
          <w:sz w:val="24"/>
          <w:szCs w:val="24"/>
        </w:rPr>
        <w:t xml:space="preserve">.</w:t>
      </w:r>
      <w:r>
        <w:rPr>
          <w:spacing w:val="-1"/>
          <w:sz w:val="24"/>
          <w:szCs w:val="24"/>
        </w:rPr>
      </w:r>
      <w:r>
        <w:rPr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938" w:leader="none"/>
          <w:tab w:val="left" w:pos="1087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Проект внесения изменений в Генеральный план муниципального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образования «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Тлюстенхабльское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городское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поселение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Теучежского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района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Республики Адыгея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» разработан на основании Приказа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омитета Республики Адыгея по архитектуре и градостроительству от 1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2.01.2026 года № 1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-ГП, в соответствии с требованиями Градостроительного кодекса Российской Федерации (далее – ГК РФ), иных нормативных правовых актов Российской Федерации.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ind w:firstLine="567"/>
        <w:jc w:val="both"/>
        <w:spacing w:line="240" w:lineRule="auto"/>
        <w:shd w:val="clear" w:color="auto" w:fill="ffffff"/>
        <w:tabs>
          <w:tab w:val="left" w:pos="397" w:leader="none"/>
          <w:tab w:val="left" w:pos="655" w:leader="none"/>
          <w:tab w:val="left" w:pos="993" w:leader="none"/>
        </w:tabs>
        <w:rPr>
          <w:rFonts w:cs="Times New Roman"/>
          <w:spacing w:val="-1"/>
        </w:rPr>
      </w:pPr>
      <w:r>
        <w:rPr>
          <w:rFonts w:cs="Times New Roman"/>
          <w:spacing w:val="-1"/>
          <w:sz w:val="24"/>
          <w:szCs w:val="24"/>
        </w:rPr>
        <w:t xml:space="preserve">  Генеральный план - документ территориального планирования, который определяет стратегию градостроительного развития поселения и условия формирования среды жизнедеятельности ориентировочно на 20 лет.</w:t>
      </w:r>
      <w:r>
        <w:rPr>
          <w:rFonts w:cs="Times New Roman"/>
          <w:spacing w:val="-1"/>
        </w:rPr>
      </w:r>
      <w:r>
        <w:rPr>
          <w:rFonts w:cs="Times New Roman"/>
          <w:spacing w:val="-1"/>
        </w:rPr>
      </w:r>
    </w:p>
    <w:p>
      <w:pPr>
        <w:pStyle w:val="1126"/>
        <w:ind w:firstLine="567"/>
        <w:jc w:val="both"/>
        <w:spacing w:line="240" w:lineRule="auto"/>
        <w:tabs>
          <w:tab w:val="left" w:pos="397" w:leader="none"/>
          <w:tab w:val="left" w:pos="655" w:leader="none"/>
          <w:tab w:val="left" w:pos="993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Данный проект разработан на основании</w:t>
      </w:r>
      <w:r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следующи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х</w:t>
      </w:r>
      <w:r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материа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cs="Times New Roman"/>
          <w:spacing w:val="-1"/>
          <w:sz w:val="24"/>
          <w:szCs w:val="24"/>
        </w:rPr>
        <w:t xml:space="preserve">Генеральный план муниципального образования «</w:t>
      </w:r>
      <w:r>
        <w:rPr>
          <w:spacing w:val="-1"/>
          <w:sz w:val="24"/>
          <w:szCs w:val="24"/>
        </w:rPr>
        <w:t xml:space="preserve">Тлюстенхабльское</w:t>
      </w:r>
      <w:r>
        <w:rPr>
          <w:rFonts w:cs="Times New Roman"/>
          <w:spacing w:val="-1"/>
          <w:sz w:val="24"/>
          <w:szCs w:val="24"/>
        </w:rPr>
        <w:t xml:space="preserve"> городское поселение» </w:t>
      </w:r>
      <w:r>
        <w:rPr>
          <w:spacing w:val="-1"/>
          <w:sz w:val="24"/>
          <w:szCs w:val="24"/>
        </w:rPr>
        <w:t xml:space="preserve">Теучежского</w:t>
      </w:r>
      <w:r>
        <w:rPr>
          <w:rFonts w:cs="Times New Roman"/>
          <w:spacing w:val="-1"/>
          <w:sz w:val="24"/>
          <w:szCs w:val="24"/>
        </w:rPr>
        <w:t xml:space="preserve"> района Республики Адыгея</w:t>
      </w:r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cs="Times New Roman"/>
          <w:spacing w:val="-1"/>
          <w:sz w:val="24"/>
          <w:szCs w:val="24"/>
        </w:rPr>
        <w:t xml:space="preserve">Схема территориального планирования Республики Адыгея</w:t>
      </w:r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cs="Times New Roman"/>
          <w:sz w:val="24"/>
          <w:szCs w:val="24"/>
        </w:rPr>
        <w:t xml:space="preserve">Градостроительный кодекс Российской Федерации</w:t>
      </w:r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cs="Times New Roman"/>
          <w:sz w:val="24"/>
          <w:szCs w:val="24"/>
        </w:rPr>
        <w:t xml:space="preserve">Земельный кодекс Российской Федерации</w:t>
      </w:r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cs="Times New Roman"/>
          <w:sz w:val="24"/>
          <w:szCs w:val="24"/>
        </w:rPr>
        <w:t xml:space="preserve">Федеральный закон от 13 июля 2015 г. N 218-ФЗ </w:t>
      </w:r>
      <w:r>
        <w:rPr>
          <w:rFonts w:cs="Times New Roman"/>
          <w:spacing w:val="-1"/>
          <w:sz w:val="24"/>
          <w:szCs w:val="24"/>
        </w:rPr>
        <w:t xml:space="preserve">«</w:t>
      </w:r>
      <w:r>
        <w:rPr>
          <w:rFonts w:cs="Times New Roman"/>
          <w:sz w:val="24"/>
          <w:szCs w:val="24"/>
        </w:rPr>
        <w:t xml:space="preserve">О государственной регистрации недвижимости</w:t>
      </w:r>
      <w:r>
        <w:rPr>
          <w:rFonts w:cs="Times New Roman"/>
          <w:spacing w:val="-1"/>
          <w:sz w:val="24"/>
          <w:szCs w:val="24"/>
        </w:rPr>
        <w:t xml:space="preserve">»</w:t>
      </w:r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cs="Times New Roman"/>
          <w:sz w:val="24"/>
          <w:szCs w:val="24"/>
        </w:rPr>
        <w:t xml:space="preserve">Федеральный закон от 01.07.2017г.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r>
        <w:rPr>
          <w:rFonts w:cs="Times New Roman"/>
          <w:sz w:val="24"/>
          <w:szCs w:val="24"/>
        </w:rPr>
        <w:t xml:space="preserve">приаэродромной</w:t>
      </w:r>
      <w:r>
        <w:rPr>
          <w:rFonts w:cs="Times New Roman"/>
          <w:sz w:val="24"/>
          <w:szCs w:val="24"/>
        </w:rPr>
        <w:t xml:space="preserve"> территории и санитарно-защитной зоны»</w:t>
      </w:r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775"/>
        <w:numPr>
          <w:ilvl w:val="0"/>
          <w:numId w:val="30"/>
        </w:numPr>
        <w:ind w:left="0" w:firstLine="567"/>
        <w:jc w:val="both"/>
        <w:spacing w:line="240" w:lineRule="auto"/>
        <w:widowControl w:val="off"/>
        <w:tabs>
          <w:tab w:val="left" w:pos="397" w:leader="none"/>
          <w:tab w:val="left" w:pos="655" w:leader="none"/>
          <w:tab w:val="left" w:pos="993" w:leader="none"/>
          <w:tab w:val="left" w:pos="1689" w:leader="none"/>
        </w:tabs>
        <w:rPr>
          <w:rFonts w:cs="Times New Roman"/>
          <w:spacing w:val="-2"/>
        </w:rPr>
      </w:pPr>
      <w:r>
        <w:rPr>
          <w:rFonts w:eastAsia="Times New Roman" w:cs="Times New Roman"/>
          <w:spacing w:val="-1"/>
          <w:sz w:val="24"/>
          <w:szCs w:val="24"/>
        </w:rPr>
        <w:t xml:space="preserve">Региональным нормативы градостроительного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проектирования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Республики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Адыгея и иные материалы.</w:t>
      </w:r>
      <w:bookmarkEnd w:id="0"/>
      <w:r>
        <w:rPr>
          <w:rFonts w:cs="Times New Roman"/>
          <w:spacing w:val="-2"/>
        </w:rPr>
      </w:r>
      <w:r>
        <w:rPr>
          <w:rFonts w:cs="Times New Roman"/>
          <w:spacing w:val="-2"/>
        </w:rPr>
      </w:r>
    </w:p>
    <w:p>
      <w:pPr>
        <w:pStyle w:val="1133"/>
        <w:jc w:val="both"/>
        <w:spacing w:line="240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Проект Внесение изменений в Генеральный план </w:t>
      </w:r>
      <w:r>
        <w:rPr>
          <w:sz w:val="24"/>
          <w:szCs w:val="24"/>
        </w:rPr>
        <w:t xml:space="preserve">Тлюстенхабльского</w:t>
      </w:r>
      <w:r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Теучежского</w:t>
      </w:r>
      <w:r>
        <w:rPr>
          <w:sz w:val="24"/>
          <w:szCs w:val="24"/>
        </w:rPr>
        <w:t xml:space="preserve"> муниципального района Республики Адыгея (далее Генеральный план) выполнен в двух частях: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33"/>
        <w:ind w:firstLine="709"/>
        <w:jc w:val="both"/>
        <w:spacing w:line="240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Часть 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«Положение о территориальном планировании» (далее - Положение);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33"/>
        <w:ind w:firstLine="709"/>
        <w:jc w:val="both"/>
        <w:spacing w:line="240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Часть 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«Материалы по обоснованию проекта генерального плана»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- Материалы)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Проект Внесение изменений в Генеральный план выполнен в соответствии с требованиями Градостроительно</w:t>
      </w:r>
      <w:r>
        <w:rPr>
          <w:rFonts w:cs="Times New Roman"/>
          <w:sz w:val="24"/>
          <w:szCs w:val="24"/>
        </w:rPr>
        <w:t xml:space="preserve">го, Земельного, Лесного, Водного кодексов Российской Федерации, Региональными нормативами градостроительного проектирования Республики Адыгея, иными нормативно-правовыми документами, необходимые для подготовки документации по территориальному планированию.</w:t>
      </w:r>
      <w:r>
        <w:rPr>
          <w:rFonts w:cs="Times New Roman"/>
        </w:rPr>
      </w:r>
      <w:r>
        <w:rPr>
          <w:rFonts w:cs="Times New Roman"/>
        </w:rPr>
      </w:r>
    </w:p>
    <w:p>
      <w:pPr>
        <w:jc w:val="both"/>
        <w:spacing w:line="240" w:lineRule="auto"/>
        <w:tabs>
          <w:tab w:val="left" w:pos="432" w:leader="none"/>
        </w:tabs>
        <w:rPr>
          <w:rFonts w:cs="Times New Roman"/>
        </w:rPr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Цели Генерального плана:</w:t>
      </w:r>
      <w:r>
        <w:rPr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</w:t>
      </w:r>
      <w:r>
        <w:rPr>
          <w:rFonts w:cs="Times New Roman"/>
          <w:sz w:val="24"/>
          <w:szCs w:val="24"/>
        </w:rPr>
        <w:t xml:space="preserve">одготовка проекта по внесению изменений в Генеральный план </w:t>
      </w:r>
      <w:bookmarkStart w:id="0" w:name="undefined"/>
      <w:r>
        <w:rPr>
          <w:rFonts w:cs="Times New Roman"/>
          <w:sz w:val="24"/>
          <w:szCs w:val="24"/>
        </w:rPr>
        <w:t xml:space="preserve">Тлюстенхабльск</w:t>
      </w:r>
      <w:bookmarkEnd w:id="0"/>
      <w:r>
        <w:rPr>
          <w:rFonts w:cs="Times New Roman"/>
          <w:sz w:val="24"/>
          <w:szCs w:val="24"/>
        </w:rPr>
        <w:t xml:space="preserve">ого</w:t>
      </w:r>
      <w:r>
        <w:rPr>
          <w:rFonts w:cs="Times New Roman"/>
          <w:sz w:val="24"/>
          <w:szCs w:val="24"/>
        </w:rPr>
        <w:t xml:space="preserve"> муниципального образования </w:t>
      </w:r>
      <w:r>
        <w:rPr>
          <w:rFonts w:cs="Times New Roman"/>
          <w:sz w:val="24"/>
          <w:szCs w:val="24"/>
        </w:rPr>
        <w:t xml:space="preserve">Теучежского</w:t>
      </w:r>
      <w:r>
        <w:rPr>
          <w:rFonts w:cs="Times New Roman"/>
          <w:sz w:val="24"/>
          <w:szCs w:val="24"/>
        </w:rPr>
        <w:t xml:space="preserve"> муниципального района Республики Адыгея </w:t>
      </w:r>
      <w:r>
        <w:rPr>
          <w:rFonts w:cs="Times New Roman"/>
          <w:sz w:val="24"/>
          <w:szCs w:val="24"/>
        </w:rPr>
        <w:t xml:space="preserve">проводится </w:t>
      </w:r>
      <w:r>
        <w:rPr>
          <w:rFonts w:cs="Times New Roman"/>
          <w:sz w:val="24"/>
          <w:szCs w:val="24"/>
        </w:rPr>
        <w:t xml:space="preserve">в части включения </w:t>
      </w:r>
      <w:r>
        <w:rPr>
          <w:rFonts w:cs="Times New Roman"/>
          <w:sz w:val="24"/>
          <w:szCs w:val="24"/>
        </w:rPr>
        <w:t xml:space="preserve">приаэродромной</w:t>
      </w:r>
      <w:r>
        <w:rPr>
          <w:rFonts w:cs="Times New Roman"/>
          <w:sz w:val="24"/>
          <w:szCs w:val="24"/>
        </w:rPr>
        <w:t xml:space="preserve"> территории согласно Схемы территориального планирования Республики Адыгея, уточнения границ населенных пунктов, а также планируемо</w:t>
      </w:r>
      <w:r>
        <w:rPr>
          <w:rFonts w:cs="Times New Roman"/>
          <w:sz w:val="24"/>
          <w:szCs w:val="24"/>
        </w:rPr>
        <w:t xml:space="preserve">го</w:t>
      </w:r>
      <w:r>
        <w:rPr>
          <w:rFonts w:cs="Times New Roman"/>
          <w:sz w:val="24"/>
          <w:szCs w:val="24"/>
        </w:rPr>
        <w:t xml:space="preserve"> размещение объектов федерального, регионального и местного значения.</w:t>
      </w:r>
      <w:r>
        <w:rPr>
          <w:rFonts w:cs="Times New Roman"/>
        </w:rPr>
      </w:r>
      <w:r>
        <w:rPr>
          <w:rFonts w:cs="Times New Roman"/>
        </w:rPr>
      </w:r>
    </w:p>
    <w:p>
      <w:pPr>
        <w:jc w:val="both"/>
        <w:spacing w:line="240" w:lineRule="auto"/>
        <w:tabs>
          <w:tab w:val="left" w:pos="432" w:leader="none"/>
        </w:tabs>
        <w:rPr>
          <w:rFonts w:cs="Times New Roman"/>
          <w:b/>
          <w:bCs/>
        </w:rPr>
      </w:pPr>
      <w:r>
        <w:rPr>
          <w:rFonts w:cs="Times New Roman"/>
          <w:b/>
          <w:bCs/>
          <w:sz w:val="24"/>
          <w:szCs w:val="24"/>
        </w:rPr>
        <w:t xml:space="preserve">      </w:t>
      </w:r>
      <w:r>
        <w:rPr>
          <w:rFonts w:cs="Times New Roman"/>
          <w:b/>
          <w:bCs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Задачи Генерального плана:</w:t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jc w:val="both"/>
        <w:spacing w:line="240" w:lineRule="auto"/>
        <w:tabs>
          <w:tab w:val="left" w:pos="432" w:leader="none"/>
        </w:tabs>
        <w:rPr>
          <w:rFonts w:cs="Times New Roman"/>
        </w:rPr>
      </w:pPr>
      <w:r>
        <w:rPr>
          <w:rFonts w:cs="Times New Roman"/>
          <w:sz w:val="24"/>
          <w:szCs w:val="24"/>
        </w:rPr>
        <w:t xml:space="preserve">- сбор, исследование и анализ материалов и исходных данных, касающихся включения </w:t>
      </w:r>
      <w:r>
        <w:rPr>
          <w:rFonts w:cs="Times New Roman"/>
          <w:sz w:val="24"/>
          <w:szCs w:val="24"/>
        </w:rPr>
        <w:t xml:space="preserve">приаэродромной</w:t>
      </w:r>
      <w:r>
        <w:rPr>
          <w:rFonts w:cs="Times New Roman"/>
          <w:sz w:val="24"/>
          <w:szCs w:val="24"/>
        </w:rPr>
        <w:t xml:space="preserve"> территории согласно Схемы территориального планирования Республики Адыгея;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40" w:lineRule="auto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- сбор, исследование и анализ материалов по уточнению границ населённых пунктов;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40" w:lineRule="auto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- сбор, исследование и анализ материалов по планируемому размещению объектов федерального, регионального и местного значения;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40" w:lineRule="auto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- внесение изменений в графические и текстовые материалы Генерального плана </w:t>
      </w:r>
      <w:r>
        <w:rPr>
          <w:rFonts w:cs="Times New Roman"/>
          <w:sz w:val="24"/>
          <w:szCs w:val="24"/>
        </w:rPr>
        <w:t xml:space="preserve">Тлюстенхабльского</w:t>
      </w:r>
      <w:r>
        <w:rPr>
          <w:rFonts w:cs="Times New Roman"/>
          <w:sz w:val="24"/>
          <w:szCs w:val="24"/>
        </w:rPr>
        <w:t xml:space="preserve"> муниципального образований </w:t>
      </w:r>
      <w:r>
        <w:rPr>
          <w:rFonts w:cs="Times New Roman"/>
          <w:sz w:val="24"/>
          <w:szCs w:val="24"/>
        </w:rPr>
        <w:t xml:space="preserve">Теучежского</w:t>
      </w:r>
      <w:r>
        <w:rPr>
          <w:rFonts w:cs="Times New Roman"/>
          <w:sz w:val="24"/>
          <w:szCs w:val="24"/>
        </w:rPr>
        <w:t xml:space="preserve"> муниципального района;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40" w:lineRule="auto"/>
        <w:tabs>
          <w:tab w:val="left" w:pos="432" w:leader="none"/>
        </w:tabs>
        <w:rPr>
          <w:rFonts w:cs="Times New Roman"/>
        </w:rPr>
      </w:pPr>
      <w:r>
        <w:rPr>
          <w:rFonts w:cs="Times New Roman"/>
          <w:sz w:val="24"/>
          <w:szCs w:val="24"/>
        </w:rPr>
        <w:t xml:space="preserve">- приведение в соответствие с действующим законодательством Российской Федерации и Республики Адыгея.</w:t>
      </w:r>
      <w:r>
        <w:rPr>
          <w:rFonts w:cs="Times New Roman"/>
        </w:rPr>
      </w:r>
      <w:r>
        <w:rPr>
          <w:rFonts w:cs="Times New Roman"/>
        </w:rPr>
      </w:r>
    </w:p>
    <w:p>
      <w:pPr>
        <w:jc w:val="both"/>
        <w:spacing w:line="240" w:lineRule="auto"/>
        <w:tabs>
          <w:tab w:val="left" w:pos="432" w:leader="none"/>
        </w:tabs>
        <w:rPr>
          <w:rFonts w:cs="Times New Roman"/>
          <w:b/>
          <w:bCs/>
        </w:rPr>
      </w:pPr>
      <w:r>
        <w:rPr>
          <w:rFonts w:cs="Times New Roman"/>
          <w:b/>
          <w:bCs/>
          <w:sz w:val="24"/>
          <w:szCs w:val="24"/>
        </w:rPr>
        <w:t xml:space="preserve">            </w:t>
      </w:r>
      <w:r>
        <w:rPr>
          <w:rFonts w:cs="Times New Roman"/>
          <w:b/>
          <w:bCs/>
          <w:sz w:val="24"/>
          <w:szCs w:val="24"/>
        </w:rPr>
        <w:t xml:space="preserve">Основные мероприятия Генерального плана по развитию функционально-пространственной среды сельского поселения</w:t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ind w:firstLine="567"/>
        <w:jc w:val="both"/>
        <w:spacing w:line="240" w:lineRule="auto"/>
        <w:rPr>
          <w:rFonts w:eastAsia="Calibri" w:cs="Times New Roman"/>
        </w:rPr>
      </w:pPr>
      <w:r>
        <w:rPr>
          <w:rFonts w:eastAsia="Calibri" w:cs="Times New Roman"/>
          <w:sz w:val="24"/>
          <w:szCs w:val="24"/>
        </w:rPr>
        <w:t xml:space="preserve">Градостроительная деятельность согласно Градостроительному кодексу РФ наряду с другими видами, осуществляется в виде территориального планирования – планирования </w:t>
      </w:r>
      <w:r>
        <w:rPr>
          <w:rFonts w:eastAsia="Calibri" w:cs="Times New Roman"/>
          <w:sz w:val="24"/>
          <w:szCs w:val="24"/>
        </w:rPr>
        <w:t xml:space="preserve">развития территорий, в том числе для установления функциональных зон, для которых определяются границы и функциональное назначение. Функциональное зонирование территории является одним из основных инструментов регулирования градостроительной деятельности. </w:t>
      </w:r>
      <w:r>
        <w:rPr>
          <w:rFonts w:eastAsia="Calibri" w:cs="Times New Roman"/>
        </w:rPr>
      </w:r>
      <w:r>
        <w:rPr>
          <w:rFonts w:eastAsia="Calibri" w:cs="Times New Roman"/>
        </w:rPr>
      </w:r>
    </w:p>
    <w:p>
      <w:pPr>
        <w:ind w:firstLine="567"/>
        <w:jc w:val="both"/>
        <w:spacing w:line="240" w:lineRule="auto"/>
        <w:rPr>
          <w:rFonts w:eastAsia="Calibri" w:cs="Times New Roman"/>
        </w:rPr>
      </w:pPr>
      <w:r>
        <w:rPr>
          <w:rFonts w:eastAsia="Calibri" w:cs="Times New Roman"/>
          <w:sz w:val="24"/>
          <w:szCs w:val="24"/>
        </w:rPr>
        <w:t xml:space="preserve">Генеральный план предполагает закрепление существующих функциональных зон и развитие предлагаемых проектом</w:t>
      </w:r>
      <w:r>
        <w:rPr>
          <w:rFonts w:eastAsia="Calibri" w:cs="Times New Roman"/>
          <w:sz w:val="24"/>
          <w:szCs w:val="24"/>
        </w:rPr>
        <w:t xml:space="preserve">:</w:t>
      </w:r>
      <w:r>
        <w:rPr>
          <w:rFonts w:eastAsia="Calibri" w:cs="Times New Roman"/>
        </w:rPr>
      </w:r>
      <w:r>
        <w:rPr>
          <w:rFonts w:eastAsia="Calibri" w:cs="Times New Roman"/>
        </w:rPr>
      </w:r>
    </w:p>
    <w:p>
      <w:pPr>
        <w:ind w:firstLine="709"/>
        <w:jc w:val="both"/>
        <w:spacing w:line="240" w:lineRule="auto"/>
        <w:tabs>
          <w:tab w:val="left" w:pos="432" w:leader="none"/>
        </w:tabs>
        <w:rPr>
          <w:rFonts w:cs="Times New Roman"/>
        </w:rPr>
      </w:pPr>
      <w:r>
        <w:rPr>
          <w:rFonts w:cs="Times New Roman"/>
          <w:sz w:val="24"/>
          <w:szCs w:val="24"/>
        </w:rPr>
        <w:t xml:space="preserve">1.</w:t>
      </w:r>
      <w:r>
        <w:rPr>
          <w:rFonts w:cs="Times New Roman"/>
          <w:sz w:val="24"/>
          <w:szCs w:val="24"/>
        </w:rPr>
        <w:tab/>
        <w:t xml:space="preserve">Реализация максимально-эффективного использования территории – реконструкция, модернизация и благоустройство всех функциональных зон.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40" w:lineRule="auto"/>
        <w:tabs>
          <w:tab w:val="left" w:pos="432" w:leader="none"/>
        </w:tabs>
        <w:rPr>
          <w:rFonts w:cs="Times New Roman"/>
        </w:rPr>
      </w:pPr>
      <w:r>
        <w:rPr>
          <w:rFonts w:cs="Times New Roman"/>
          <w:sz w:val="24"/>
          <w:szCs w:val="24"/>
        </w:rPr>
        <w:t xml:space="preserve">2.</w:t>
      </w:r>
      <w:r>
        <w:rPr>
          <w:rFonts w:cs="Times New Roman"/>
          <w:sz w:val="24"/>
          <w:szCs w:val="24"/>
        </w:rPr>
        <w:tab/>
        <w:t xml:space="preserve">Сохранение и развитие структуры существующих центров, системы общественных центров населенных пунктов и в районах новой застройки во всех населенных пунктах МО «</w:t>
      </w:r>
      <w:r>
        <w:rPr>
          <w:rFonts w:cs="Times New Roman"/>
          <w:sz w:val="24"/>
          <w:szCs w:val="24"/>
        </w:rPr>
        <w:t xml:space="preserve">Тлюстенхабльское</w:t>
      </w:r>
      <w:r>
        <w:rPr>
          <w:rFonts w:cs="Times New Roman"/>
          <w:sz w:val="24"/>
          <w:szCs w:val="24"/>
        </w:rPr>
        <w:t xml:space="preserve"> городское поселение»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line="240" w:lineRule="auto"/>
        <w:tabs>
          <w:tab w:val="left" w:pos="432" w:leader="none"/>
        </w:tabs>
        <w:rPr>
          <w:rFonts w:cs="Times New Roman"/>
        </w:rPr>
      </w:pPr>
      <w:r>
        <w:rPr>
          <w:rFonts w:cs="Times New Roman"/>
          <w:sz w:val="24"/>
          <w:szCs w:val="24"/>
        </w:rPr>
        <w:t xml:space="preserve">3.</w:t>
      </w:r>
      <w:r>
        <w:rPr>
          <w:rFonts w:cs="Times New Roman"/>
          <w:sz w:val="24"/>
          <w:szCs w:val="24"/>
        </w:rPr>
        <w:tab/>
        <w:t xml:space="preserve">Развитие архитектурно-планировочных особенностей местной среды.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1134"/>
        <w:ind w:firstLine="709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Генеральный план выполнен применительно ко всей территории муниципального образования.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4"/>
        <w:numPr>
          <w:ilvl w:val="0"/>
          <w:numId w:val="0"/>
        </w:numPr>
        <w:ind w:left="36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4"/>
        <w:numPr>
          <w:ilvl w:val="0"/>
          <w:numId w:val="0"/>
        </w:numPr>
        <w:ind w:left="360"/>
        <w:jc w:val="both"/>
        <w:spacing w:before="0" w:after="0"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 xml:space="preserve">Сведения о видах, назначении и наименованиях планируемых для размещения объектов местного значения, их основные характеристики, их местоположение (дл</w:t>
      </w:r>
      <w:r>
        <w:rPr>
          <w:sz w:val="24"/>
          <w:szCs w:val="24"/>
        </w:rPr>
        <w:t xml:space="preserve">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135"/>
        <w:ind w:left="0" w:firstLine="709"/>
        <w:spacing w:before="0" w:line="240" w:lineRule="auto"/>
        <w:rPr>
          <w:b/>
          <w:bCs/>
        </w:rPr>
      </w:pPr>
      <w:r/>
      <w:bookmarkStart w:id="0" w:name="undefined"/>
      <w:r>
        <w:rPr>
          <w:b/>
          <w:bCs/>
        </w:rPr>
        <w:t xml:space="preserve">Таблица </w:t>
      </w:r>
      <w:r>
        <w:rPr>
          <w:b/>
          <w:bCs/>
        </w:rPr>
        <w:t xml:space="preserve">1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line="240" w:lineRule="auto"/>
        <w:rPr>
          <w:b/>
        </w:rPr>
      </w:pPr>
      <w:r>
        <w:rPr>
          <w:b/>
        </w:rPr>
        <w:t xml:space="preserve">Планируемые для размещения на территории муниципального образования «</w:t>
      </w:r>
      <w:r>
        <w:rPr>
          <w:b/>
        </w:rPr>
        <w:t xml:space="preserve">Тлюстенхабльское</w:t>
      </w:r>
      <w:r>
        <w:rPr>
          <w:b/>
        </w:rPr>
        <w:t xml:space="preserve"> городское поселение» объекты местного значения в сфере водоснабжения, водоотведения, газоснабжения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spacing w:line="240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0387" w:type="dxa"/>
        <w:jc w:val="center"/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376"/>
        <w:gridCol w:w="1683"/>
        <w:gridCol w:w="1629"/>
        <w:gridCol w:w="1508"/>
        <w:gridCol w:w="1984"/>
        <w:gridCol w:w="1134"/>
        <w:gridCol w:w="2073"/>
      </w:tblGrid>
      <w:tr>
        <w:tblPrEx/>
        <w:trPr>
          <w:cantSplit/>
          <w:jc w:val="center"/>
          <w:trHeight w:val="1571"/>
          <w:tblHeader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376" w:type="dxa"/>
            <w:vAlign w:val="center"/>
            <w:textDirection w:val="lrTb"/>
            <w:noWrap w:val="false"/>
          </w:tcPr>
          <w:p>
            <w:pPr>
              <w:ind w:right="36" w:firstLine="34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№№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Назначение объекта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2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объекта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0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характеристики объекта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Местоположение объекта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38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Очередность строительства/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firstLine="38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реконструкции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073" w:type="dxa"/>
            <w:vAlign w:val="center"/>
            <w:textDirection w:val="lrTb"/>
            <w:noWrap w:val="false"/>
          </w:tcPr>
          <w:p>
            <w:pPr>
              <w:ind w:firstLine="38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Характеристики зон с особыми условиями использования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территории,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функциональная зона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376" w:type="dxa"/>
            <w:vAlign w:val="center"/>
            <w:textDirection w:val="lrTb"/>
            <w:noWrap w:val="false"/>
          </w:tcPr>
          <w:p>
            <w:pPr>
              <w:ind w:right="36" w:firstLine="34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29" w:type="dxa"/>
            <w:vAlign w:val="center"/>
            <w:textDirection w:val="lrTb"/>
            <w:noWrap w:val="false"/>
          </w:tcPr>
          <w:p>
            <w:pPr>
              <w:ind w:firstLine="2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0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07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376" w:type="dxa"/>
            <w:vAlign w:val="center"/>
            <w:textDirection w:val="lrTb"/>
            <w:noWrap w:val="false"/>
          </w:tcPr>
          <w:p>
            <w:pPr>
              <w:ind w:right="36" w:firstLine="34"/>
              <w:jc w:val="center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Водоснбжение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: «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Строительство водозаборных сооружений в п. 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Тлюстенхабль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»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2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Водозабор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0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Производительност</w:t>
            </w:r>
            <w:r>
              <w:rPr>
                <w:bCs/>
                <w:sz w:val="20"/>
                <w:szCs w:val="20"/>
              </w:rPr>
              <w:t xml:space="preserve">ью </w:t>
            </w:r>
            <w:r>
              <w:rPr>
                <w:bCs/>
                <w:sz w:val="20"/>
                <w:szCs w:val="20"/>
              </w:rPr>
              <w:t xml:space="preserve">до                30 м3/час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Республика Адыгея (Адыгея), Теучежский муниципальный район, городское поселение </w:t>
            </w:r>
            <w:r>
              <w:rPr>
                <w:bCs/>
                <w:sz w:val="20"/>
                <w:szCs w:val="20"/>
              </w:rPr>
              <w:t xml:space="preserve">Тлюстенхабльское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Тлюстенхабль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посклок</w:t>
            </w:r>
            <w:r>
              <w:rPr>
                <w:bCs/>
                <w:sz w:val="20"/>
                <w:szCs w:val="20"/>
              </w:rPr>
              <w:t xml:space="preserve"> городского типа, Зеленая улица, земельный участок 106А/1, кадастровый номер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bCs/>
                <w:sz w:val="20"/>
                <w:szCs w:val="20"/>
                <w:highlight w:val="cyan"/>
              </w:rPr>
            </w:pPr>
            <w:r>
              <w:rPr>
                <w:bCs/>
                <w:sz w:val="20"/>
                <w:szCs w:val="20"/>
              </w:rPr>
              <w:t xml:space="preserve">01:06:2500001:1854</w:t>
            </w:r>
            <w:r>
              <w:rPr>
                <w:bCs/>
                <w:sz w:val="20"/>
                <w:szCs w:val="20"/>
                <w:highlight w:val="cyan"/>
              </w:rPr>
            </w:r>
            <w:r>
              <w:rPr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/>
                <w:sz w:val="20"/>
                <w:szCs w:val="20"/>
                <w:highlight w:val="cyan"/>
              </w:rPr>
            </w:pPr>
            <w:r>
              <w:rPr>
                <w:bCs/>
                <w:sz w:val="20"/>
                <w:szCs w:val="20"/>
              </w:rPr>
              <w:t xml:space="preserve">2024-2025 </w:t>
            </w:r>
            <w:r>
              <w:rPr>
                <w:bCs/>
                <w:sz w:val="20"/>
                <w:szCs w:val="20"/>
                <w:highlight w:val="cyan"/>
              </w:rPr>
            </w:r>
            <w:r>
              <w:rPr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07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Ширина санитарно-защитной полосы водовода составляет 10 м. п.2.4.3 СанПиН 2.1.4.1110-02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376" w:type="dxa"/>
            <w:vAlign w:val="center"/>
            <w:textDirection w:val="lrTb"/>
            <w:noWrap w:val="false"/>
          </w:tcPr>
          <w:p>
            <w:pPr>
              <w:ind w:right="36" w:firstLine="34"/>
              <w:jc w:val="center"/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Водоснбжение</w:t>
            </w:r>
            <w:r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: «</w:t>
            </w:r>
            <w:r>
              <w:rPr>
                <w:rFonts w:cs="Times New Roman"/>
                <w:sz w:val="20"/>
                <w:szCs w:val="20"/>
                <w:lang w:eastAsia="ru-RU"/>
              </w:rPr>
              <w:t xml:space="preserve">Строительство водопроводных сетей по программе «Чистая вода»</w:t>
            </w:r>
            <w:r>
              <w:rPr>
                <w:rFonts w:cs="Times New Roman"/>
                <w:sz w:val="20"/>
                <w:szCs w:val="20"/>
                <w:lang w:eastAsia="ru-RU"/>
              </w:rPr>
            </w:r>
            <w:r>
              <w:rPr>
                <w:rFonts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62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Водопроводные сети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0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Производительностью до                30 м3/час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4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 xml:space="preserve">Республика Адыгея (Адыгея), Теучежский муниципальный район, городское поселение </w:t>
            </w:r>
            <w:r>
              <w:rPr>
                <w:bCs/>
                <w:sz w:val="20"/>
                <w:szCs w:val="20"/>
              </w:rPr>
              <w:t xml:space="preserve">Тлюстенхабльское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Тлюстенхабль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посклок</w:t>
            </w:r>
            <w:r>
              <w:rPr>
                <w:bCs/>
                <w:sz w:val="20"/>
                <w:szCs w:val="20"/>
              </w:rPr>
              <w:t xml:space="preserve"> городского типа</w:t>
            </w:r>
            <w:r>
              <w:rPr>
                <w:bCs/>
                <w:sz w:val="20"/>
                <w:szCs w:val="20"/>
              </w:rPr>
              <w:t xml:space="preserve">, формируется участок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2024-2025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07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Ширина санитарно-защитной полосы водовода составляет 10 м. п.2.4.3 СанПиН 2.1.4.1110-02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54"/>
        <w:ind w:left="0" w:right="0" w:firstLine="0"/>
        <w:jc w:val="left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  <w:t xml:space="preserve">Функциональное зонирование территории</w:t>
      </w:r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Согласно пункту 5 статья 1 Градостроительного кодекса Российской Федерации, функциональные зоны – это зоны, для которых документами территориального планирования определены границы и функциональное назначение. </w:t>
      </w:r>
      <w:r>
        <w:rPr>
          <w:sz w:val="24"/>
          <w:szCs w:val="24"/>
        </w:rPr>
        <w:t xml:space="preserve">Проектные решения Генерального плана являются основой для разработки правил землепользования и застройки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устанавливающих правовой режим использования территориальных зон и земельных участков, определения зон инвестиционного развития, проектов планировок отдельных районов и зон муниципального образования.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Параметры ф</w:t>
      </w:r>
      <w:r>
        <w:rPr>
          <w:sz w:val="24"/>
          <w:szCs w:val="24"/>
        </w:rPr>
        <w:t xml:space="preserve">ункциональных зон включены в Положение, а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отображены на Карте функциональных зон </w:t>
      </w:r>
      <w:r>
        <w:rPr>
          <w:sz w:val="24"/>
          <w:szCs w:val="24"/>
        </w:rPr>
        <w:t xml:space="preserve">Генерального плана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Целями зонирования</w:t>
      </w:r>
      <w:r>
        <w:rPr>
          <w:sz w:val="24"/>
          <w:szCs w:val="24"/>
        </w:rPr>
        <w:t xml:space="preserve"> территории</w:t>
      </w:r>
      <w:r>
        <w:rPr>
          <w:sz w:val="24"/>
          <w:szCs w:val="24"/>
        </w:rPr>
        <w:t xml:space="preserve">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5"/>
        <w:numPr>
          <w:ilvl w:val="0"/>
          <w:numId w:val="34"/>
        </w:numPr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обеспечение градостроительными средствами благоприятных условий проживания населения;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5"/>
        <w:numPr>
          <w:ilvl w:val="0"/>
          <w:numId w:val="34"/>
        </w:numPr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ограничение вредного воздействия хозяйственной и иной деятельности на окружающую природную среду;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5"/>
        <w:numPr>
          <w:ilvl w:val="0"/>
          <w:numId w:val="34"/>
        </w:numPr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рациональное использование ресурсов в интересах настоящего и будущего поколений;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5"/>
        <w:numPr>
          <w:ilvl w:val="0"/>
          <w:numId w:val="34"/>
        </w:numPr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формирование содержательной основы для градостроительного зонирования.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Функциональное зонирование территории муниципального образования является одним из основных инструментов регулирования градостроительной</w:t>
      </w:r>
      <w:r>
        <w:rPr>
          <w:sz w:val="24"/>
          <w:szCs w:val="24"/>
        </w:rPr>
        <w:t xml:space="preserve"> деятельности. Зонирование устанавливает рамочные условия использования территории, обязательные для всех участников градостроительной деятельности, в части функциональной принадлежности, плотности и характера застройки, ландшафтной организации территории.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bCs/>
        </w:rPr>
      </w:pPr>
      <w:r>
        <w:rPr>
          <w:bCs/>
          <w:sz w:val="24"/>
          <w:szCs w:val="24"/>
        </w:rPr>
        <w:t xml:space="preserve">Генеральным планом муниципального образования </w:t>
      </w:r>
      <w:r>
        <w:rPr>
          <w:rFonts w:cs="Times New Roman"/>
          <w:bCs/>
          <w:sz w:val="24"/>
          <w:szCs w:val="24"/>
        </w:rPr>
        <w:t xml:space="preserve">«</w:t>
      </w:r>
      <w:r>
        <w:rPr>
          <w:rFonts w:cs="Times New Roman"/>
          <w:bCs/>
          <w:sz w:val="24"/>
          <w:szCs w:val="24"/>
        </w:rPr>
        <w:t xml:space="preserve">Тлюстенхабльское</w:t>
      </w:r>
      <w:r>
        <w:rPr>
          <w:rFonts w:cs="Times New Roman"/>
          <w:bCs/>
          <w:sz w:val="24"/>
          <w:szCs w:val="24"/>
        </w:rPr>
        <w:t xml:space="preserve"> городское поселение» </w:t>
      </w:r>
      <w:r>
        <w:rPr>
          <w:bCs/>
          <w:sz w:val="24"/>
          <w:szCs w:val="24"/>
        </w:rPr>
        <w:t xml:space="preserve">определены следующие зоны:</w:t>
      </w:r>
      <w:r>
        <w:rPr>
          <w:bCs/>
        </w:rPr>
      </w:r>
      <w:r>
        <w:rPr>
          <w:bCs/>
        </w:rPr>
      </w:r>
    </w:p>
    <w:p>
      <w:pPr>
        <w:pStyle w:val="1137"/>
        <w:ind w:firstLine="709"/>
        <w:spacing w:before="0" w:after="0" w:line="240" w:lineRule="auto"/>
      </w:pPr>
      <w:r/>
      <w:bookmarkStart w:id="0" w:name="undefined"/>
      <w:r>
        <w:t xml:space="preserve">Состав </w:t>
      </w:r>
      <w:r>
        <w:t xml:space="preserve">функциональных</w:t>
      </w:r>
      <w:r>
        <w:t xml:space="preserve"> зон</w:t>
      </w:r>
      <w:bookmarkEnd w:id="0"/>
      <w:r>
        <w:t xml:space="preserve">:</w:t>
      </w:r>
      <w:r/>
    </w:p>
    <w:tbl>
      <w:tblPr>
        <w:tblW w:w="9250" w:type="dxa"/>
        <w:tblInd w:w="-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6946"/>
      </w:tblGrid>
      <w:tr>
        <w:tblPrEx/>
        <w:trPr>
          <w:trHeight w:val="332"/>
          <w:tblHeader/>
        </w:trPr>
        <w:tc>
          <w:tcPr>
            <w:tcW w:w="2304" w:type="dxa"/>
            <w:textDirection w:val="lrTb"/>
            <w:noWrap/>
          </w:tcPr>
          <w:p>
            <w:pPr>
              <w:ind w:firstLine="709"/>
              <w:jc w:val="both"/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Код объекта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6946" w:type="dxa"/>
            <w:textDirection w:val="lrTb"/>
            <w:noWrap w:val="false"/>
          </w:tcPr>
          <w:p>
            <w:pPr>
              <w:ind w:firstLine="709"/>
              <w:jc w:val="both"/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объекта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16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701010100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Жилые зоны (Ж)</w:t>
            </w:r>
            <w:r/>
          </w:p>
        </w:tc>
      </w:tr>
      <w:tr>
        <w:tblPrEx/>
        <w:trPr>
          <w:trHeight w:val="636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701010300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Общественно-деловые зоны (ОД)</w:t>
            </w:r>
            <w:r/>
          </w:p>
        </w:tc>
      </w:tr>
      <w:tr>
        <w:tblPrEx/>
        <w:trPr>
          <w:trHeight w:val="645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70101040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Производственные зоны, зоны инженерной и транспортной инфраструктур (П, ИТ)</w:t>
            </w:r>
            <w:r/>
          </w:p>
        </w:tc>
      </w:tr>
      <w:tr>
        <w:tblPrEx/>
        <w:trPr>
          <w:trHeight w:val="645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70101050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Зоны сельскохозяйственного использования (СХ)</w:t>
            </w:r>
            <w:r/>
          </w:p>
        </w:tc>
      </w:tr>
      <w:tr>
        <w:tblPrEx/>
        <w:trPr>
          <w:trHeight w:val="645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70101060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Зоны рекреационного назначения (Р)</w:t>
            </w:r>
            <w:r/>
          </w:p>
        </w:tc>
      </w:tr>
      <w:tr>
        <w:tblPrEx/>
        <w:trPr>
          <w:trHeight w:val="645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70101070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Зоны специального назначения (СН)</w:t>
            </w:r>
            <w:r/>
          </w:p>
        </w:tc>
      </w:tr>
      <w:tr>
        <w:tblPrEx/>
        <w:trPr>
          <w:trHeight w:val="645"/>
        </w:trPr>
        <w:tc>
          <w:tcPr>
            <w:tcW w:w="2304" w:type="dxa"/>
            <w:vAlign w:val="center"/>
            <w:textDirection w:val="lrTb"/>
            <w:noWrap/>
          </w:tcPr>
          <w:p>
            <w:pPr>
              <w:pStyle w:val="775"/>
              <w:ind w:left="0"/>
              <w:jc w:val="center"/>
              <w:spacing w:line="240" w:lineRule="auto"/>
            </w:pPr>
            <w:r>
              <w:t xml:space="preserve">701010800</w:t>
            </w:r>
            <w:r/>
          </w:p>
        </w:tc>
        <w:tc>
          <w:tcPr>
            <w:tcW w:w="6946" w:type="dxa"/>
            <w:vAlign w:val="center"/>
            <w:textDirection w:val="lrTb"/>
            <w:noWrap w:val="false"/>
          </w:tcPr>
          <w:p>
            <w:pPr>
              <w:pStyle w:val="775"/>
              <w:ind w:left="0"/>
              <w:spacing w:line="240" w:lineRule="auto"/>
            </w:pPr>
            <w:r>
              <w:t xml:space="preserve">Зона режимных территорий (ОБ)</w:t>
            </w:r>
            <w:r/>
          </w:p>
        </w:tc>
      </w:tr>
    </w:tbl>
    <w:p>
      <w:pPr>
        <w:ind w:firstLine="567"/>
        <w:jc w:val="both"/>
        <w:spacing w:line="240" w:lineRule="auto"/>
        <w:rPr>
          <w:rFonts w:eastAsia="Calibri" w:cs="Times New Roman"/>
        </w:rPr>
      </w:pPr>
      <w:r>
        <w:rPr>
          <w:rFonts w:eastAsia="Calibri" w:cs="Times New Roman"/>
          <w:sz w:val="24"/>
          <w:szCs w:val="24"/>
        </w:rPr>
        <w:t xml:space="preserve">К основным функциональным зонам, относятся:</w:t>
      </w:r>
      <w:r>
        <w:rPr>
          <w:rFonts w:eastAsia="Calibri" w:cs="Times New Roman"/>
        </w:rPr>
      </w:r>
      <w:r>
        <w:rPr>
          <w:rFonts w:eastAsia="Calibri" w:cs="Times New Roman"/>
        </w:rPr>
      </w:r>
    </w:p>
    <w:p>
      <w:pPr>
        <w:pStyle w:val="775"/>
        <w:numPr>
          <w:ilvl w:val="0"/>
          <w:numId w:val="33"/>
        </w:numPr>
        <w:ind w:left="0" w:firstLine="567"/>
        <w:jc w:val="both"/>
        <w:spacing w:line="240" w:lineRule="auto"/>
        <w:widowControl w:val="off"/>
        <w:tabs>
          <w:tab w:val="left" w:pos="401" w:leader="none"/>
          <w:tab w:val="left" w:pos="556" w:leader="none"/>
        </w:tabs>
        <w:rPr>
          <w:rFonts w:eastAsia="Calibri" w:cs="Times New Roman"/>
          <w:spacing w:val="-1"/>
        </w:rPr>
      </w:pPr>
      <w:r>
        <w:rPr>
          <w:rFonts w:eastAsia="Times New Roman" w:cs="Times New Roman"/>
          <w:b/>
          <w:bCs/>
          <w:spacing w:val="-1"/>
          <w:sz w:val="24"/>
          <w:szCs w:val="24"/>
        </w:rPr>
        <w:t xml:space="preserve">жилая</w:t>
      </w:r>
      <w:r>
        <w:rPr>
          <w:rFonts w:eastAsia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 xml:space="preserve">зона </w:t>
      </w:r>
      <w:r>
        <w:rPr>
          <w:rFonts w:eastAsia="Calibri" w:cs="Times New Roman"/>
          <w:i/>
          <w:spacing w:val="-1"/>
          <w:sz w:val="24"/>
          <w:szCs w:val="24"/>
        </w:rPr>
        <w:t xml:space="preserve">(зона застройки индивидуальными жилыми домами, застройки малоэтажными многоквартирными жилыми домами)</w:t>
      </w:r>
      <w:r>
        <w:rPr>
          <w:rFonts w:eastAsia="Calibri" w:cs="Times New Roman"/>
          <w:spacing w:val="-1"/>
          <w:sz w:val="24"/>
          <w:szCs w:val="24"/>
        </w:rPr>
        <w:t xml:space="preserve"> – зоны для обеспечения правовых, социальных, культурных, бытовых условий формирования жилых районов из отдельно стоящих индивидуальных, </w:t>
      </w:r>
      <w:r>
        <w:rPr>
          <w:rFonts w:eastAsia="Calibri" w:cs="Times New Roman"/>
          <w:spacing w:val="-1"/>
          <w:sz w:val="24"/>
          <w:szCs w:val="24"/>
        </w:rPr>
        <w:t xml:space="preserve">среднеэтажных</w:t>
      </w:r>
      <w:r>
        <w:rPr>
          <w:rFonts w:eastAsia="Calibri" w:cs="Times New Roman"/>
          <w:spacing w:val="-1"/>
          <w:sz w:val="24"/>
          <w:szCs w:val="24"/>
        </w:rPr>
        <w:t xml:space="preserve">, малоэтажных или блокированных жилых домов усаде</w:t>
      </w:r>
      <w:r>
        <w:rPr>
          <w:rFonts w:eastAsia="Calibri" w:cs="Times New Roman"/>
          <w:spacing w:val="-1"/>
          <w:sz w:val="24"/>
          <w:szCs w:val="24"/>
        </w:rPr>
        <w:t xml:space="preserve">бного типа, а также зона 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недвижимости.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ind w:firstLine="567"/>
        <w:jc w:val="both"/>
        <w:spacing w:line="240" w:lineRule="auto"/>
        <w:rPr>
          <w:rFonts w:eastAsia="Calibri" w:cs="Times New Roman"/>
          <w:spacing w:val="-1"/>
        </w:rPr>
      </w:pPr>
      <w:r>
        <w:rPr>
          <w:rFonts w:eastAsia="Calibri" w:cs="Times New Roman"/>
          <w:b/>
          <w:bCs/>
          <w:spacing w:val="-1"/>
          <w:sz w:val="24"/>
          <w:szCs w:val="24"/>
        </w:rPr>
        <w:t xml:space="preserve">- общественно-</w:t>
      </w:r>
      <w:r>
        <w:rPr>
          <w:rFonts w:eastAsia="Calibri" w:cs="Times New Roman"/>
          <w:b/>
          <w:bCs/>
          <w:spacing w:val="-2"/>
          <w:sz w:val="24"/>
          <w:szCs w:val="24"/>
        </w:rPr>
        <w:t xml:space="preserve">деловая</w:t>
      </w:r>
      <w:r>
        <w:rPr>
          <w:rFonts w:eastAsia="Calibri" w:cs="Times New Roman"/>
          <w:b/>
          <w:bCs/>
          <w:spacing w:val="52"/>
          <w:sz w:val="24"/>
          <w:szCs w:val="24"/>
        </w:rPr>
        <w:t xml:space="preserve"> </w:t>
      </w:r>
      <w:r>
        <w:rPr>
          <w:rFonts w:eastAsia="Calibri" w:cs="Times New Roman"/>
          <w:b/>
          <w:bCs/>
          <w:sz w:val="24"/>
          <w:szCs w:val="24"/>
        </w:rPr>
        <w:t xml:space="preserve">зона</w:t>
      </w:r>
      <w:r>
        <w:rPr>
          <w:rFonts w:eastAsia="Calibri" w:cs="Times New Roman"/>
          <w:spacing w:val="-1"/>
          <w:sz w:val="24"/>
          <w:szCs w:val="24"/>
        </w:rPr>
        <w:t xml:space="preserve"> – зона, предназначенная для размещения административных, общественных и иных учреждений преимущественно федерального, регионального и общегородского значения, коммерческие учреждения, офисы, жилье, здания многофункционального назначения, для размеще</w:t>
      </w:r>
      <w:r>
        <w:rPr>
          <w:rFonts w:eastAsia="Calibri" w:cs="Times New Roman"/>
          <w:spacing w:val="-1"/>
          <w:sz w:val="24"/>
          <w:szCs w:val="24"/>
        </w:rPr>
        <w:t xml:space="preserve">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образования, научно-исследовательских учреждений, культо</w:t>
      </w:r>
      <w:r>
        <w:rPr>
          <w:rFonts w:eastAsia="Calibri" w:cs="Times New Roman"/>
          <w:spacing w:val="-1"/>
          <w:sz w:val="24"/>
          <w:szCs w:val="24"/>
        </w:rPr>
        <w:t xml:space="preserve">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 и удовлетворением периодических, эпизодических потребностей населения при ограничении жилых функций.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pStyle w:val="775"/>
        <w:numPr>
          <w:ilvl w:val="0"/>
          <w:numId w:val="33"/>
        </w:numPr>
        <w:ind w:left="0" w:firstLine="567"/>
        <w:jc w:val="both"/>
        <w:spacing w:line="240" w:lineRule="auto"/>
        <w:widowControl w:val="off"/>
        <w:tabs>
          <w:tab w:val="left" w:pos="401" w:leader="none"/>
          <w:tab w:val="left" w:pos="556" w:leader="none"/>
        </w:tabs>
        <w:rPr>
          <w:rFonts w:eastAsia="Times New Roman" w:cs="Times New Roman"/>
          <w:bCs/>
          <w:spacing w:val="-1"/>
        </w:rPr>
      </w:pPr>
      <w:r>
        <w:rPr>
          <w:rFonts w:eastAsia="Times New Roman" w:cs="Times New Roman"/>
          <w:b/>
          <w:bCs/>
          <w:spacing w:val="-1"/>
          <w:sz w:val="24"/>
          <w:szCs w:val="24"/>
        </w:rPr>
        <w:t xml:space="preserve">производственная зона и зона транспортной инфраструктуры </w:t>
      </w:r>
      <w:r>
        <w:rPr>
          <w:rFonts w:eastAsia="Times New Roman" w:cs="Times New Roman"/>
          <w:bCs/>
          <w:spacing w:val="-1"/>
          <w:sz w:val="24"/>
          <w:szCs w:val="24"/>
        </w:rPr>
        <w:t xml:space="preserve">(зона промышленных  объектов, зона коммунально-складских объектов, зона транспортной инфраструктуры) – зоны предназначенные для размещения промышленных, коммунальных и складских объектов, объектов транспортной инфраструктур, </w:t>
      </w:r>
      <w:r>
        <w:rPr>
          <w:rFonts w:eastAsia="Times New Roman" w:cs="Times New Roman"/>
          <w:bCs/>
          <w:spacing w:val="-1"/>
          <w:sz w:val="24"/>
          <w:szCs w:val="24"/>
        </w:rPr>
        <w:t xml:space="preserve">в том числе сооружений и коммуникаций железнодорожного, автомобильного, речного, морского, воздушного и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  <w:r>
        <w:rPr>
          <w:rFonts w:eastAsia="Times New Roman" w:cs="Times New Roman"/>
          <w:bCs/>
          <w:spacing w:val="-1"/>
        </w:rPr>
      </w:r>
      <w:r>
        <w:rPr>
          <w:rFonts w:eastAsia="Times New Roman" w:cs="Times New Roman"/>
          <w:bCs/>
          <w:spacing w:val="-1"/>
        </w:rPr>
      </w:r>
    </w:p>
    <w:p>
      <w:pPr>
        <w:ind w:firstLine="567"/>
        <w:jc w:val="both"/>
        <w:spacing w:line="240" w:lineRule="auto"/>
        <w:rPr>
          <w:rFonts w:eastAsia="Calibri" w:cs="Times New Roman"/>
          <w:spacing w:val="-1"/>
        </w:rPr>
      </w:pPr>
      <w:r>
        <w:rPr>
          <w:rFonts w:eastAsia="Calibri" w:cs="Times New Roman"/>
          <w:i/>
          <w:spacing w:val="-1"/>
          <w:sz w:val="24"/>
          <w:szCs w:val="24"/>
        </w:rPr>
        <w:t xml:space="preserve">- </w:t>
      </w:r>
      <w:r>
        <w:rPr>
          <w:rFonts w:eastAsia="Calibri" w:cs="Times New Roman"/>
          <w:b/>
          <w:bCs/>
          <w:spacing w:val="-1"/>
          <w:sz w:val="24"/>
          <w:szCs w:val="24"/>
        </w:rPr>
        <w:t xml:space="preserve">сельскохозяйственные зоны </w:t>
      </w:r>
      <w:r>
        <w:rPr>
          <w:rFonts w:eastAsia="Calibri" w:cs="Times New Roman"/>
          <w:i/>
          <w:spacing w:val="-1"/>
          <w:sz w:val="24"/>
          <w:szCs w:val="24"/>
        </w:rPr>
        <w:t xml:space="preserve">(зона сельскохозяйственного использования, зона сельскохозяйственного производства) – п</w:t>
      </w:r>
      <w:r>
        <w:rPr>
          <w:rFonts w:eastAsia="Calibri" w:cs="Times New Roman"/>
          <w:spacing w:val="-1"/>
          <w:sz w:val="24"/>
          <w:szCs w:val="24"/>
        </w:rPr>
        <w:t xml:space="preserve">ашни, сенокосы, пастбища, залежи, земли, занятые многолетними насаждениями (садами, ви</w:t>
      </w:r>
      <w:r>
        <w:rPr>
          <w:rFonts w:eastAsia="Calibri" w:cs="Times New Roman"/>
          <w:spacing w:val="-1"/>
          <w:sz w:val="24"/>
          <w:szCs w:val="24"/>
        </w:rPr>
        <w:t xml:space="preserve">ноградниками и другими) и зоны, занятые объектами сельскохозяйственного назначения и предназначенные для ведения сельского хозяйства, развития объектов сельскохозяйственного назначения, также для размещения и развития объектов агропромышленного комплекса. 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ind w:firstLine="567"/>
        <w:jc w:val="both"/>
        <w:spacing w:line="240" w:lineRule="auto"/>
        <w:rPr>
          <w:rFonts w:eastAsia="Calibri" w:cs="Times New Roman"/>
          <w:spacing w:val="-1"/>
        </w:rPr>
      </w:pPr>
      <w:r>
        <w:rPr>
          <w:rFonts w:eastAsia="Calibri" w:cs="Times New Roman"/>
          <w:b/>
          <w:spacing w:val="-1"/>
          <w:sz w:val="24"/>
          <w:szCs w:val="24"/>
        </w:rPr>
        <w:t xml:space="preserve">-</w:t>
      </w:r>
      <w:r>
        <w:rPr>
          <w:rFonts w:eastAsia="Calibri" w:cs="Times New Roman"/>
          <w:spacing w:val="-1"/>
          <w:sz w:val="24"/>
          <w:szCs w:val="24"/>
        </w:rPr>
        <w:t xml:space="preserve"> </w:t>
      </w:r>
      <w:r>
        <w:rPr>
          <w:rFonts w:eastAsia="Calibri" w:cs="Times New Roman"/>
          <w:b/>
          <w:spacing w:val="-1"/>
          <w:sz w:val="24"/>
          <w:szCs w:val="24"/>
        </w:rPr>
        <w:t xml:space="preserve">зона рекреационного назначения</w:t>
      </w:r>
      <w:r>
        <w:rPr>
          <w:rFonts w:eastAsia="Calibri" w:cs="Times New Roman"/>
          <w:spacing w:val="-1"/>
          <w:sz w:val="24"/>
          <w:szCs w:val="24"/>
        </w:rPr>
        <w:t xml:space="preserve"> – (зона лесопарков, скверов, бульваров и зона отдыха) </w:t>
      </w:r>
      <w:r>
        <w:rPr>
          <w:rFonts w:eastAsia="Calibri" w:cs="Times New Roman"/>
          <w:i/>
          <w:spacing w:val="-1"/>
          <w:sz w:val="24"/>
          <w:szCs w:val="24"/>
        </w:rPr>
        <w:t xml:space="preserve">– </w:t>
      </w:r>
      <w:r>
        <w:rPr>
          <w:rFonts w:eastAsia="Calibri" w:cs="Times New Roman"/>
          <w:spacing w:val="-1"/>
          <w:sz w:val="24"/>
          <w:szCs w:val="24"/>
        </w:rPr>
        <w:t xml:space="preserve">зона занятая скверами, парками, бульварами, озеленения общего пользования, прудами, озерами, водохранилищами, пляжами, береговыми полосами водн</w:t>
      </w:r>
      <w:r>
        <w:rPr>
          <w:rFonts w:eastAsia="Calibri" w:cs="Times New Roman"/>
          <w:spacing w:val="-1"/>
          <w:sz w:val="24"/>
          <w:szCs w:val="24"/>
        </w:rPr>
        <w:t xml:space="preserve">ых объектов общего пользования, в границах иных территорий, используемых и предназначенных для организации отдыха, туризма, занятий физической культурой и спортом населения, а также для сохранения природного ландшафта, экологически чистой окружающей среды.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ind w:firstLine="567"/>
        <w:jc w:val="both"/>
        <w:spacing w:line="240" w:lineRule="auto"/>
        <w:rPr>
          <w:rFonts w:eastAsia="Calibri" w:cs="Times New Roman"/>
          <w:spacing w:val="-1"/>
        </w:rPr>
      </w:pPr>
      <w:r>
        <w:rPr>
          <w:rFonts w:eastAsia="Calibri" w:cs="Times New Roman"/>
          <w:b/>
          <w:bCs/>
          <w:sz w:val="24"/>
          <w:szCs w:val="24"/>
        </w:rPr>
        <w:t xml:space="preserve">- </w:t>
      </w:r>
      <w:r>
        <w:rPr>
          <w:rFonts w:eastAsia="Calibri" w:cs="Times New Roman"/>
          <w:b/>
          <w:spacing w:val="-1"/>
          <w:sz w:val="24"/>
          <w:szCs w:val="24"/>
        </w:rPr>
        <w:t xml:space="preserve">зона объектов обороны и иного специального назначения</w:t>
      </w:r>
      <w:r>
        <w:rPr>
          <w:rFonts w:eastAsia="Calibri" w:cs="Times New Roman"/>
          <w:b/>
          <w:bCs/>
          <w:sz w:val="24"/>
          <w:szCs w:val="24"/>
        </w:rPr>
        <w:t xml:space="preserve"> -</w:t>
      </w:r>
      <w:r>
        <w:rPr>
          <w:rFonts w:eastAsia="Calibri" w:cs="Times New Roman"/>
          <w:spacing w:val="-1"/>
          <w:sz w:val="24"/>
          <w:szCs w:val="24"/>
        </w:rPr>
        <w:t xml:space="preserve"> территории, предназначенные для размещения объектов обороны, безопасности, а также мест содержания под стражей п</w:t>
      </w:r>
      <w:r>
        <w:rPr>
          <w:rFonts w:eastAsia="Calibri" w:cs="Times New Roman"/>
          <w:spacing w:val="-1"/>
          <w:sz w:val="24"/>
          <w:szCs w:val="24"/>
        </w:rPr>
        <w:t xml:space="preserve">одозреваемых и обвиняемых, учреждений и органов, исполняющих наказание, установления санитарно-защитных зон указанных объектов, размещения иных объектов, связанных с объектами, расположенными в зоне режимных территорий, либо с обслуживанием таких объектов.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ind w:firstLine="567"/>
        <w:jc w:val="both"/>
        <w:spacing w:line="240" w:lineRule="auto"/>
        <w:rPr>
          <w:rFonts w:eastAsia="Calibri" w:cs="Times New Roman"/>
          <w:spacing w:val="-1"/>
        </w:rPr>
      </w:pPr>
      <w:r>
        <w:rPr>
          <w:rFonts w:eastAsia="Calibri" w:cs="Times New Roman"/>
          <w:b/>
          <w:bCs/>
          <w:sz w:val="24"/>
          <w:szCs w:val="24"/>
        </w:rPr>
        <w:t xml:space="preserve">- зона</w:t>
      </w:r>
      <w:r>
        <w:rPr>
          <w:rFonts w:eastAsia="Calibri" w:cs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Calibri" w:cs="Times New Roman"/>
          <w:b/>
          <w:bCs/>
          <w:spacing w:val="-1"/>
          <w:sz w:val="24"/>
          <w:szCs w:val="24"/>
        </w:rPr>
        <w:t xml:space="preserve">специального</w:t>
      </w:r>
      <w:r>
        <w:rPr>
          <w:rFonts w:eastAsia="Calibri" w:cs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Calibri" w:cs="Times New Roman"/>
          <w:b/>
          <w:bCs/>
          <w:spacing w:val="-1"/>
          <w:sz w:val="24"/>
          <w:szCs w:val="24"/>
        </w:rPr>
        <w:t xml:space="preserve">назначения </w:t>
      </w:r>
      <w:r>
        <w:rPr>
          <w:rFonts w:eastAsia="Calibri" w:cs="Times New Roman"/>
          <w:spacing w:val="-1"/>
          <w:sz w:val="24"/>
          <w:szCs w:val="24"/>
        </w:rPr>
        <w:t xml:space="preserve">(зона кладбищ) – кладбища, и иные территории.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ind w:firstLine="567"/>
        <w:jc w:val="both"/>
        <w:spacing w:line="240" w:lineRule="auto"/>
        <w:rPr>
          <w:rFonts w:eastAsia="Calibri" w:cs="Times New Roman"/>
          <w:spacing w:val="-1"/>
        </w:rPr>
      </w:pPr>
      <w:r>
        <w:rPr>
          <w:rFonts w:eastAsia="Calibri" w:cs="Times New Roman"/>
          <w:b/>
          <w:bCs/>
          <w:sz w:val="24"/>
          <w:szCs w:val="24"/>
        </w:rPr>
        <w:t xml:space="preserve">- зона акваторий </w:t>
      </w:r>
      <w:r>
        <w:rPr>
          <w:rFonts w:eastAsia="Calibri" w:cs="Times New Roman"/>
          <w:b/>
          <w:bCs/>
          <w:spacing w:val="-1"/>
          <w:sz w:val="24"/>
          <w:szCs w:val="24"/>
        </w:rPr>
        <w:t xml:space="preserve">- </w:t>
      </w:r>
      <w:r>
        <w:rPr>
          <w:rFonts w:eastAsia="Calibri" w:cs="Times New Roman"/>
          <w:spacing w:val="-1"/>
          <w:sz w:val="24"/>
          <w:szCs w:val="24"/>
        </w:rPr>
        <w:t xml:space="preserve">земли, покрытые поверхностными водами, сосредоточенными в водных объектах и занятые гидротехническими и иными сооружениями, расположенными на </w:t>
      </w:r>
      <w:r>
        <w:rPr>
          <w:rFonts w:eastAsia="Calibri" w:cs="Times New Roman"/>
          <w:spacing w:val="-1"/>
          <w:sz w:val="24"/>
          <w:szCs w:val="24"/>
        </w:rPr>
        <w:t xml:space="preserve">водных объектах, необходимые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</w:r>
      <w:r>
        <w:rPr>
          <w:rFonts w:eastAsia="Calibri" w:cs="Times New Roman"/>
          <w:spacing w:val="-1"/>
          <w:sz w:val="24"/>
          <w:szCs w:val="24"/>
        </w:rPr>
        <w:t xml:space="preserve">рыбозащитных</w:t>
      </w:r>
      <w:r>
        <w:rPr>
          <w:rFonts w:eastAsia="Calibri" w:cs="Times New Roman"/>
          <w:spacing w:val="-1"/>
          <w:sz w:val="24"/>
          <w:szCs w:val="24"/>
        </w:rPr>
        <w:t xml:space="preserve"> и рыбопропускных сооружений, берегозащитных сооружений).</w:t>
      </w:r>
      <w:r>
        <w:rPr>
          <w:rFonts w:eastAsia="Calibri" w:cs="Times New Roman"/>
          <w:spacing w:val="-1"/>
        </w:rPr>
      </w:r>
      <w:r>
        <w:rPr>
          <w:rFonts w:eastAsia="Calibri" w:cs="Times New Roman"/>
          <w:spacing w:val="-1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В соответствии с законодательством Российской Федерации правовой статус установленных в Генеральном плане границ функциональных зон определяется следующими положениями: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1) установление границ функциональных зон не создает правовых последствий для правообладателей земельных участков и иных объектов недвижимости;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Границы, характеристики и параметры функциональных зон подлежат учету при: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1) определении градостроительных регламентов, подготавливаемых как предложения о внесении изменений в правила землепользования и застройки – изменений, целесообразность которых следует из Генерального плана;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2) подготовке местных нормативов градостроительного проектирования на основании и с учетом расчетных показателей Генерального плана;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3) подготовке Муниципальных программ социально-экономического развития, в том числе в отношении развития муниципальной инфраструктуры, подготовке иных актов и документов, регулирующих развитие МО;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4) подготовке документации по планировке территории. 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pStyle w:val="1131"/>
        <w:ind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Учет установленных в Генеральном плане границ зон планируемого раз</w:t>
      </w:r>
      <w:r>
        <w:rPr>
          <w:color w:val="auto"/>
          <w:sz w:val="24"/>
          <w:szCs w:val="24"/>
        </w:rPr>
        <w:t xml:space="preserve">мещения объектов капитального строительства и границ функциональных зон осуществляется в соответствии с законодательством применительно к составу документации по планировке территории в различных случаях, при проведении публичных слушаний, в иных случаях. </w:t>
      </w:r>
      <w:r>
        <w:rPr>
          <w:color w:val="auto"/>
        </w:rPr>
      </w:r>
      <w:r>
        <w:rPr>
          <w:color w:val="auto"/>
        </w:rPr>
      </w:r>
    </w:p>
    <w:p>
      <w:pPr>
        <w:ind w:firstLine="709"/>
        <w:jc w:val="both"/>
        <w:spacing w:line="240" w:lineRule="auto"/>
      </w:pPr>
      <w:r>
        <w:br w:type="page" w:clear="all"/>
      </w:r>
      <w:r/>
    </w:p>
    <w:p>
      <w:pPr>
        <w:pStyle w:val="754"/>
        <w:numPr>
          <w:ilvl w:val="0"/>
          <w:numId w:val="32"/>
        </w:numPr>
        <w:jc w:val="both"/>
        <w:spacing w:line="240" w:lineRule="auto"/>
        <w:rPr>
          <w:rFonts w:ascii="Times New Roman" w:hAnsi="Times New Roman" w:cs="Times New Roman"/>
          <w:b/>
          <w:bCs w:val="0"/>
          <w:color w:val="auto"/>
          <w:sz w:val="24"/>
          <w:szCs w:val="24"/>
        </w:rPr>
      </w:pPr>
      <w:r>
        <w:rPr>
          <w:rStyle w:val="1138"/>
          <w:rFonts w:ascii="Times New Roman" w:hAnsi="Times New Roman" w:eastAsia="Times New Roman" w:cs="Times New Roman"/>
          <w:b/>
          <w:bCs w:val="0"/>
          <w:color w:val="auto"/>
          <w:sz w:val="24"/>
          <w:szCs w:val="24"/>
        </w:rPr>
        <w:t xml:space="preserve">Параметры функциональных зон, сведения о планируемых для размещения в функциональных зонах объектах федерального значения, объектах регионального значения, объектах местного значения, за исключением линейных объектов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Основными параме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трами функциональных зон, на территории МО, приняты показатели, с учетом, установленных в пункте 9.8 Методических рекомендаций по разработке проектов генеральных планов поселений и городских округов, утвержденных приказом Минрегиона РФ от 26.05.2011 N 244.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26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В соответствии с требованиями Градостроительного кодекса Российской Федерации для функциональных зон установлены следующие параметры: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– максимально допустимый коэффициент застройки зоны;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– максимальная этажность застройки зоны;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– максимальная высота строений от уровня земли.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Сведения о планируемых для размещения объектах федерального значения приведены в соответствии с утверждёнными на дату подготовки проекта (июнь 2025год) документами территориального планирования Российской Федерации. 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Сведения о планируемых для размещения объектах регионального значения приведены в соответствии с подготовленной на дату выполнения проекта (июнь 2025год) Схемой территориального планирования Республики Адыгея.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/>
        </w:rPr>
        <w:t xml:space="preserve">Сведения о планируемых для размещения объектах местного значения приведены в соответствии с подготовленной на дату выполнения проекта (июнь 2025год) Схемой территориального планирования Республики Адыгея.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756"/>
        <w:spacing w:before="0" w:after="0" w:line="240" w:lineRule="auto"/>
        <w:rPr>
          <w:rFonts w:cs="Arial" w:eastAsiaTheme="minorHAnsi"/>
          <w:szCs w:val="26"/>
          <w:lang w:eastAsia="ru-RU"/>
        </w:rPr>
      </w:pPr>
      <w:r>
        <w:rPr>
          <w:rFonts w:eastAsiaTheme="minorHAnsi"/>
        </w:rPr>
        <w:t xml:space="preserve">ЖИЛЫЕ ЗОНЫ</w:t>
      </w:r>
      <w:r>
        <w:rPr>
          <w:rFonts w:cs="Arial" w:eastAsiaTheme="minorHAnsi"/>
          <w:szCs w:val="26"/>
          <w:lang w:eastAsia="ru-RU"/>
        </w:rPr>
      </w:r>
      <w:r>
        <w:rPr>
          <w:rFonts w:cs="Arial" w:eastAsiaTheme="minorHAnsi"/>
          <w:szCs w:val="26"/>
          <w:lang w:eastAsia="ru-RU"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cs="Times New Roman"/>
          <w:b/>
          <w:bCs/>
        </w:rPr>
        <w:t xml:space="preserve">1. </w:t>
      </w:r>
      <w:r>
        <w:rPr>
          <w:rFonts w:eastAsia="Times New Roman" w:cs="Times New Roman"/>
          <w:b/>
          <w:bCs/>
        </w:rPr>
        <w:t xml:space="preserve">Параметры: 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189"/>
        <w:gridCol w:w="2338"/>
        <w:gridCol w:w="598"/>
        <w:gridCol w:w="4011"/>
      </w:tblGrid>
      <w:tr>
        <w:tblPrEx/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4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4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Зона выделена для обеспечения правовых, социальных, культурных, бытовых условий формирования жилых районов из отдельно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стоящих индивидуальных, малоэтажных или блокированных жилых домов усадебного типа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этаж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ей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(включая мансардный этаж)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федерального значения в пределах </w:t>
      </w:r>
      <w:r>
        <w:rPr>
          <w:rFonts w:eastAsia="Times New Roman" w:cs="Times New Roman"/>
          <w:sz w:val="24"/>
          <w:szCs w:val="24"/>
        </w:rPr>
        <w:t xml:space="preserve">жилой зоны</w:t>
      </w:r>
      <w:r>
        <w:rPr>
          <w:rFonts w:eastAsia="Times New Roman" w:cs="Times New Roman"/>
          <w:sz w:val="24"/>
          <w:szCs w:val="24"/>
        </w:rPr>
        <w:t xml:space="preserve">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регионального значения в пределах </w:t>
      </w:r>
      <w:r>
        <w:rPr>
          <w:rFonts w:eastAsia="Times New Roman" w:cs="Times New Roman"/>
          <w:sz w:val="24"/>
          <w:szCs w:val="24"/>
        </w:rPr>
        <w:t xml:space="preserve">жилой </w:t>
      </w:r>
      <w:r>
        <w:rPr>
          <w:rFonts w:eastAsia="Times New Roman" w:cs="Times New Roman"/>
          <w:sz w:val="24"/>
          <w:szCs w:val="24"/>
        </w:rPr>
        <w:t xml:space="preserve">зоны не предусмотрено Схемой территориального планирования Республики Адыгея.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Style w:val="756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 пределах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жилой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зоны размещаются объекты местного значения в сфере водоснабжения, газоснабжения, водоотведения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, электроснабжения и теплоснабжения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jc w:val="center"/>
        <w:spacing w:line="24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ОБЩЕСТВЕННО-ДЕЛОВЫЕ ЗОНЫ</w:t>
      </w:r>
      <w:r>
        <w:rPr>
          <w:rFonts w:eastAsia="Times New Roman" w:cs="Times New Roman"/>
          <w:b/>
        </w:rPr>
      </w:r>
      <w:r>
        <w:rPr>
          <w:rFonts w:eastAsia="Times New Roman" w:cs="Times New Roman"/>
          <w:b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  <w:lang w:val="en-US"/>
        </w:rPr>
      </w:pPr>
      <w:r>
        <w:rPr>
          <w:rFonts w:eastAsia="Times New Roman" w:cs="Times New Roman"/>
          <w:b/>
          <w:bCs/>
        </w:rPr>
        <w:t xml:space="preserve">1</w:t>
      </w:r>
      <w:r>
        <w:rPr>
          <w:rFonts w:eastAsia="Times New Roman" w:cs="Times New Roman"/>
          <w:b/>
          <w:bCs/>
        </w:rPr>
        <w:t xml:space="preserve">. Параметры: </w:t>
      </w:r>
      <w:r>
        <w:rPr>
          <w:rFonts w:eastAsia="Times New Roman" w:cs="Times New Roman"/>
          <w:b/>
          <w:bCs/>
          <w:lang w:val="en-US"/>
        </w:rPr>
      </w:r>
      <w:r>
        <w:rPr>
          <w:rFonts w:eastAsia="Times New Roman" w:cs="Times New Roman"/>
          <w:b/>
          <w:bCs/>
          <w:lang w:val="en-US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11"/>
        <w:gridCol w:w="2041"/>
        <w:gridCol w:w="1020"/>
        <w:gridCol w:w="3464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Предназначена для размещения общегородского центра, объектов делового, о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бщественного и коммерческого назначения, торговли, общественного питания, коммунально-бытового назначения, вспомогательной инфраструктуры, а также для обслуживания объектов, необходимых для осуществления производственной и предпринимательской деятельности.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0,8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этажа (включая мансардный этаж)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100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федерального значения в пределах общественно-деловой зоны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567"/>
        <w:jc w:val="both"/>
        <w:spacing w:line="240" w:lineRule="auto"/>
        <w:rPr>
          <w:rFonts w:cs="Times New Roman"/>
          <w:spacing w:val="-1"/>
        </w:rPr>
      </w:pPr>
      <w:r>
        <w:rPr>
          <w:rFonts w:cs="Times New Roman"/>
          <w:spacing w:val="-1"/>
          <w:sz w:val="24"/>
          <w:szCs w:val="24"/>
        </w:rPr>
        <w:t xml:space="preserve">Размещение планируемых объектов регионального значения в пределах общественно- деловой зоны не предусмотрено Схемой территориального планирования Республики Адыгея.</w:t>
      </w:r>
      <w:r>
        <w:rPr>
          <w:rFonts w:cs="Times New Roman"/>
          <w:spacing w:val="-1"/>
        </w:rPr>
      </w:r>
      <w:r>
        <w:rPr>
          <w:rFonts w:cs="Times New Roman"/>
          <w:spacing w:val="-1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cs="Times New Roman"/>
          <w:spacing w:val="-1"/>
          <w:sz w:val="24"/>
          <w:szCs w:val="24"/>
        </w:rPr>
        <w:t xml:space="preserve">В пределах общественно-деловой зоны размещаются объекты местного значения в сфере здравоохранения, образования, в сфере отдыха, физкультуры и спорта</w:t>
      </w:r>
      <w:r>
        <w:rPr>
          <w:rFonts w:cs="Times New Roman"/>
          <w:spacing w:val="-1"/>
          <w:sz w:val="24"/>
          <w:szCs w:val="24"/>
        </w:rPr>
        <w:t xml:space="preserve">, общественные пространства.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center"/>
        <w:spacing w:before="200" w:after="200" w:line="24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ПРОИЗВОДСТВЕННЫЕ ЗОНЫ</w:t>
      </w:r>
      <w:r>
        <w:rPr>
          <w:rFonts w:eastAsia="Times New Roman" w:cs="Times New Roman"/>
          <w:b/>
        </w:rPr>
      </w:r>
      <w:r>
        <w:rPr>
          <w:rFonts w:eastAsia="Times New Roman" w:cs="Times New Roman"/>
          <w:b/>
        </w:rPr>
      </w:r>
    </w:p>
    <w:p>
      <w:pPr>
        <w:jc w:val="both"/>
        <w:spacing w:before="200" w:after="20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</w:t>
      </w:r>
      <w:r>
        <w:rPr>
          <w:rFonts w:eastAsia="Times New Roman" w:cs="Times New Roman"/>
          <w:b/>
          <w:bCs/>
        </w:rPr>
        <w:t xml:space="preserve">. Параметры: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11"/>
        <w:gridCol w:w="2041"/>
        <w:gridCol w:w="1020"/>
        <w:gridCol w:w="3464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Зоны выделены для обеспечения правовых условий формир</w:t>
            </w:r>
            <w:r>
              <w:rPr>
                <w:rFonts w:cs="Times New Roman"/>
                <w:sz w:val="20"/>
                <w:szCs w:val="20"/>
              </w:rPr>
              <w:t xml:space="preserve">ования предприятий, производств и объектов IV - V класса опасности, согласно перечню СанПиН 2.2.1/2.1.1.1200-03, с высокими и низкими уровнями шума и загрязнения. Допускается широкий спектр коммерческих услуг, сопровождающих производственную деятельность.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Предназначена для размещения преимущественно промышленных предприятий, сопутствующей инженерной и транспортной инфраструктуры, АЗС, АГЗС.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0,8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7 этаж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ей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(включая мансардный этаж)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9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зданий, строений, сооружений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100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        </w:t>
      </w:r>
      <w:r>
        <w:rPr>
          <w:rFonts w:eastAsia="Times New Roman" w:cs="Times New Roman"/>
          <w:sz w:val="24"/>
          <w:szCs w:val="24"/>
        </w:rPr>
        <w:t xml:space="preserve">Размещение планируемых объектов федерального значения в пределах производственной зоны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567"/>
        <w:jc w:val="both"/>
        <w:spacing w:line="240" w:lineRule="auto"/>
        <w:rPr>
          <w:rFonts w:cs="Times New Roman"/>
          <w:spacing w:val="-1"/>
        </w:rPr>
      </w:pPr>
      <w:r>
        <w:rPr>
          <w:rFonts w:cs="Times New Roman"/>
          <w:spacing w:val="-1"/>
          <w:sz w:val="24"/>
          <w:szCs w:val="24"/>
        </w:rPr>
        <w:t xml:space="preserve">Размещение планируемых объектов регионального значения в пределах производственной зоны не предусмотрено Схемой территориального планирования Республики Адыгея.</w:t>
      </w:r>
      <w:r>
        <w:rPr>
          <w:rFonts w:cs="Times New Roman"/>
          <w:spacing w:val="-1"/>
        </w:rPr>
      </w:r>
      <w:r>
        <w:rPr>
          <w:rFonts w:cs="Times New Roman"/>
          <w:spacing w:val="-1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        </w:t>
      </w:r>
      <w:r>
        <w:rPr>
          <w:rFonts w:eastAsia="Times New Roman" w:cs="Times New Roman"/>
          <w:sz w:val="24"/>
          <w:szCs w:val="24"/>
        </w:rPr>
        <w:t xml:space="preserve">В пределах производственной зоны размещаются объекты местного значения в сфере электроснабжения, газоснабжения, водоотведения, водоотведения, автомобильных дорог и искусственных сооружений (улицы и дороги местного значения, автобусные линии, велодорожки).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Style w:val="756"/>
        <w:jc w:val="center"/>
        <w:spacing w:line="240" w:lineRule="auto"/>
        <w:rPr>
          <w:rFonts w:cs="Arial"/>
          <w:szCs w:val="26"/>
        </w:rPr>
      </w:pPr>
      <w:r>
        <w:rPr>
          <w:b/>
          <w:bCs/>
          <w:sz w:val="20"/>
          <w:szCs w:val="20"/>
        </w:rPr>
        <w:t xml:space="preserve">ЗОНЫ ОБЪЕКТОВ ТРАНСПОРТНОЙ ИНФРАСТРУКТУРЫ</w:t>
      </w:r>
      <w:r>
        <w:rPr>
          <w:rFonts w:cs="Arial"/>
          <w:szCs w:val="26"/>
        </w:rPr>
      </w:r>
      <w:r>
        <w:rPr>
          <w:rFonts w:cs="Arial"/>
          <w:szCs w:val="26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1. Параметры: 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11"/>
        <w:gridCol w:w="2451"/>
        <w:gridCol w:w="610"/>
        <w:gridCol w:w="3464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Предназначена для размещения объектов транспорта: автомобильного, железнодорожного, воздушного, водного и трубопроводного, а также транспортной инфраструктуры иных видов.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0,8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3 этажа (включая мансардный этаж)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pc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100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федерального значения в пределах зоны </w:t>
      </w:r>
      <w:r>
        <w:rPr>
          <w:spacing w:val="-1"/>
          <w:sz w:val="24"/>
          <w:szCs w:val="24"/>
        </w:rPr>
        <w:t xml:space="preserve">транспортной</w:t>
      </w:r>
      <w:r>
        <w:rPr>
          <w:rFonts w:eastAsia="Times New Roman" w:cs="Times New Roman"/>
          <w:sz w:val="24"/>
          <w:szCs w:val="24"/>
        </w:rPr>
        <w:t xml:space="preserve"> инфраструктуры предусмотрено действующими документами территориального пл</w:t>
      </w:r>
      <w:r>
        <w:rPr>
          <w:rFonts w:eastAsia="Times New Roman" w:cs="Times New Roman"/>
          <w:sz w:val="24"/>
          <w:szCs w:val="24"/>
        </w:rPr>
        <w:t xml:space="preserve">анирования Российской Федерации: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Style w:val="1132"/>
        <w:ind w:left="426" w:hanging="426"/>
        <w:spacing w:before="0" w:after="0" w:line="240" w:lineRule="auto"/>
        <w:tabs>
          <w:tab w:val="left" w:pos="426" w:leader="none"/>
          <w:tab w:val="clear" w:pos="992" w:leader="none"/>
          <w:tab w:val="clear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Автомобильная дорога М-4 «Дон» Москва – Воронеж – Ростов-на-Дону – Краснодар – Новороссийск, строительство и реконструкция автомобильной дороги протяженностью 1522,3 км, категории IА - IБ, с 2 - 6 полосами.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32"/>
        <w:ind w:left="426" w:hanging="426"/>
        <w:spacing w:before="0" w:after="0" w:line="240" w:lineRule="auto"/>
        <w:tabs>
          <w:tab w:val="left" w:pos="426" w:leader="none"/>
          <w:tab w:val="clear" w:pos="992" w:leader="none"/>
          <w:tab w:val="clear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Автомобильная дорога А-146 Краснодар – Верхнебаканский, реконструкция на участке км 0 + 000 – км 140 + 693 протяженностью 140,7 км, категория IБ.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32"/>
        <w:ind w:left="426" w:hanging="426"/>
        <w:spacing w:before="0" w:after="0" w:line="240" w:lineRule="auto"/>
        <w:tabs>
          <w:tab w:val="left" w:pos="426" w:leader="none"/>
          <w:tab w:val="clear" w:pos="992" w:leader="none"/>
          <w:tab w:val="clear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Строительство </w:t>
      </w:r>
      <w:r>
        <w:rPr>
          <w:iCs w:val="0"/>
          <w:sz w:val="24"/>
          <w:szCs w:val="24"/>
        </w:rPr>
        <w:t xml:space="preserve">высокоскоростной железнодорожной магистрали</w:t>
      </w:r>
      <w:r>
        <w:rPr>
          <w:iCs w:val="0"/>
          <w:sz w:val="24"/>
          <w:szCs w:val="24"/>
        </w:rPr>
        <w:t xml:space="preserve"> (ВСМ-3)</w:t>
      </w:r>
      <w:r>
        <w:rPr>
          <w:iCs w:val="0"/>
          <w:sz w:val="24"/>
          <w:szCs w:val="24"/>
        </w:rPr>
        <w:t xml:space="preserve"> Москва – Ростов-на-Дону – Адлер</w:t>
      </w:r>
      <w:r>
        <w:rPr>
          <w:iCs w:val="0"/>
          <w:sz w:val="24"/>
          <w:szCs w:val="24"/>
        </w:rPr>
        <w:t xml:space="preserve">, протяженностью 1525 км.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регионального значения в пределах зоны </w:t>
      </w:r>
      <w:r>
        <w:rPr>
          <w:spacing w:val="-1"/>
          <w:sz w:val="24"/>
          <w:szCs w:val="24"/>
        </w:rPr>
        <w:t xml:space="preserve">транспортной</w:t>
      </w:r>
      <w:r>
        <w:rPr>
          <w:rFonts w:eastAsia="Times New Roman" w:cs="Times New Roman"/>
          <w:sz w:val="24"/>
          <w:szCs w:val="24"/>
        </w:rPr>
        <w:t xml:space="preserve"> инфраструктуры не предусмотрено Схемой территориального планирования Республики Адыгея.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 пределах зоны объектов транспортной инфраструктуры размещаются объекты местного значения в сфере транспортного комплекса, водоснабжения, водоотведения, электроснабжения и газоснабжения.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</w:r>
    </w:p>
    <w:p>
      <w:pPr>
        <w:pStyle w:val="756"/>
        <w:jc w:val="center"/>
        <w:spacing w:line="240" w:lineRule="auto"/>
        <w:rPr>
          <w:rFonts w:cs="Arial"/>
          <w:szCs w:val="26"/>
        </w:rPr>
      </w:pPr>
      <w:r>
        <w:rPr>
          <w:b/>
          <w:bCs/>
          <w:sz w:val="20"/>
          <w:szCs w:val="20"/>
        </w:rPr>
        <w:t xml:space="preserve">СЕЛЬСКОХОЗЯЙСТВЕННЫЕ ЗОНЫ</w:t>
      </w:r>
      <w:r>
        <w:rPr>
          <w:rFonts w:cs="Arial"/>
          <w:szCs w:val="26"/>
        </w:rPr>
      </w:r>
      <w:r>
        <w:rPr>
          <w:rFonts w:cs="Arial"/>
          <w:szCs w:val="26"/>
        </w:rPr>
      </w:r>
    </w:p>
    <w:p>
      <w:pPr>
        <w:spacing w:before="20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Зона сельскохозяйственных угодий.</w:t>
      </w: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</w:p>
    <w:p>
      <w:pPr>
        <w:jc w:val="both"/>
        <w:spacing w:before="20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1. Параметры: 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45"/>
        <w:gridCol w:w="2400"/>
        <w:gridCol w:w="979"/>
        <w:gridCol w:w="2112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1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Предназначена для размещения земельных участков, занятых сельскохозяйственными угодьями (в том числе пашни, сенокосы, пастбища)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1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1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зданий, строений, сооружений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       Размещение планируемых объектов федерального значения в пределах зоны сельскохозяйственных угодий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Размещение планируемых объектов регионального значения в пределах зоны </w:t>
      </w:r>
      <w:r>
        <w:rPr>
          <w:rFonts w:eastAsia="Times New Roman" w:cs="Times New Roman"/>
          <w:sz w:val="24"/>
          <w:szCs w:val="24"/>
        </w:rPr>
        <w:t xml:space="preserve">сельскохозяйственных угодий </w:t>
      </w:r>
      <w:r>
        <w:rPr>
          <w:rFonts w:eastAsia="Times New Roman" w:cs="Times New Roman"/>
          <w:color w:val="000000"/>
          <w:sz w:val="24"/>
          <w:szCs w:val="24"/>
        </w:rPr>
        <w:t xml:space="preserve">не предусмотрено действующими документами территориального планирования Республики Адыгея.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both"/>
        <w:spacing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sz w:val="24"/>
          <w:szCs w:val="24"/>
        </w:rPr>
        <w:t xml:space="preserve">    В пределах зоны сельскохозяйственных угодий размещаются объекты местного значения в сфере электроснабжения, газоснабжения, водоснабжения, водоотведения, искусственных сооружений.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after="200" w:line="240" w:lineRule="auto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Зона сельскохозяйственного использования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1. Параметры: </w:t>
      </w:r>
      <w:r>
        <w:rPr>
          <w:rFonts w:eastAsia="Times New Roman" w:cs="Times New Roman"/>
          <w:b/>
          <w:bCs/>
          <w:color w:val="000000"/>
        </w:rPr>
      </w:r>
      <w:r>
        <w:rPr>
          <w:rFonts w:eastAsia="Times New Roman" w:cs="Times New Roman"/>
          <w:b/>
          <w:bCs/>
          <w:color w:val="000000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0"/>
        <w:gridCol w:w="2835"/>
        <w:gridCol w:w="1679"/>
        <w:gridCol w:w="2112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8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1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Предназначена для размещения земельных участков, занятых сельскохозяйственными угодьями, предназначенными для ведения сельского хозяйства, выделенными на землях населённых пунктов.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8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,8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1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8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не установлено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1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максимальная высота зданий, строений, сооружений от уровня земли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8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</w:r>
      <w:r>
        <w:rPr>
          <w:rFonts w:eastAsia="Times New Roman" w:cs="Times New Roman"/>
          <w:b/>
          <w:bCs/>
          <w:color w:val="000000"/>
        </w:rPr>
      </w:r>
      <w:r>
        <w:rPr>
          <w:rFonts w:eastAsia="Times New Roman" w:cs="Times New Roman"/>
          <w:b/>
          <w:bCs/>
          <w:color w:val="000000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  <w:color w:val="000000"/>
        </w:rPr>
      </w:r>
      <w:r>
        <w:rPr>
          <w:rFonts w:eastAsia="Times New Roman" w:cs="Times New Roman"/>
          <w:b/>
          <w:bCs/>
          <w:color w:val="000000"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Размещение планируемых объектов федерального значения в пределах зоны сельскохозяйственного использования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  <w:b/>
          <w:bCs/>
          <w:color w:val="000000"/>
        </w:rPr>
      </w:r>
      <w:r>
        <w:rPr>
          <w:rFonts w:eastAsia="Times New Roman" w:cs="Times New Roman"/>
          <w:b/>
          <w:bCs/>
          <w:color w:val="000000"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Размещение планируемых объектов регионального значения в пределах зоны сельскохозяйственного использования не предусмотрено действующими документами территориального планирования Республики Адыгея.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b/>
          <w:bCs/>
          <w:color w:val="000000"/>
        </w:rPr>
      </w:r>
      <w:r>
        <w:rPr>
          <w:rFonts w:eastAsia="Times New Roman" w:cs="Times New Roman"/>
          <w:b/>
          <w:bCs/>
          <w:color w:val="000000"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В пределах зоны сельскохозяйственного использования размещаются объекты местного значения в сфере электроснабжения, газоснабжения, водоснабжения, водоотведения и искусственных сооружений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56"/>
        <w:jc w:val="center"/>
        <w:spacing w:before="0" w:after="0" w:line="240" w:lineRule="auto"/>
        <w:rPr>
          <w:rFonts w:cs="Arial" w:eastAsiaTheme="minorHAnsi"/>
          <w:szCs w:val="26"/>
        </w:rPr>
      </w:pPr>
      <w:r>
        <w:rPr>
          <w:rFonts w:eastAsiaTheme="minorHAnsi"/>
          <w:b/>
          <w:bCs/>
          <w:sz w:val="20"/>
          <w:szCs w:val="20"/>
        </w:rPr>
        <w:t xml:space="preserve">ЗОНА РЕКРЕАЦИОННОГО НАЗНАЧЕНИЯ</w:t>
      </w:r>
      <w:r>
        <w:rPr>
          <w:rFonts w:cs="Arial" w:eastAsiaTheme="minorHAnsi"/>
          <w:szCs w:val="26"/>
        </w:rPr>
      </w:r>
      <w:r>
        <w:rPr>
          <w:rFonts w:cs="Arial" w:eastAsiaTheme="minorHAnsi"/>
          <w:szCs w:val="26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1. Параметры: 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937"/>
        <w:gridCol w:w="2974"/>
        <w:gridCol w:w="1275"/>
        <w:gridCol w:w="1950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Зона парков, скверов, бульваров, озеленения общего пользования предназначена для организации массового отдыха населения, занятий физической культурой и спортом, а также для сохранения природного ландшафта, экологически чистой окружающей среды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%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pct"/>
            <w:vAlign w:val="center"/>
            <w:textDirection w:val="lrTb"/>
            <w:noWrap w:val="false"/>
          </w:tcPr>
          <w:p>
            <w:pPr>
              <w:pStyle w:val="1126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0,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7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7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2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22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line="240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</w:r>
      <w:r>
        <w:rPr>
          <w:rFonts w:eastAsia="Times New Roman" w:cs="Times New Roman"/>
          <w:b/>
          <w:bCs/>
          <w:lang w:eastAsia="en-US"/>
        </w:rPr>
      </w:r>
      <w:r>
        <w:rPr>
          <w:rFonts w:eastAsia="Times New Roman" w:cs="Times New Roman"/>
          <w:b/>
          <w:bCs/>
          <w:lang w:eastAsia="en-US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2.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Размещение планируемых объектов федерального значения в пределах зоны рекреационного назначения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Размещение планируемых объектов регионального значения в пределах зоны рекреационного назначения не предусмотрено Схемой территориального планирования Республики Адыгея.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пределах зоны рекреационного назначения размещаются объекты местного значения в сфере электроснабжения, водоотведения, автомобильных дорог и искусственных сооружений.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</w:p>
    <w:p>
      <w:pPr>
        <w:pStyle w:val="756"/>
        <w:jc w:val="center"/>
        <w:spacing w:line="240" w:lineRule="auto"/>
        <w:rPr>
          <w:rFonts w:cs="Arial" w:eastAsiaTheme="minorHAnsi"/>
          <w:szCs w:val="26"/>
        </w:rPr>
      </w:pPr>
      <w:r>
        <w:rPr>
          <w:b/>
          <w:bCs/>
          <w:sz w:val="20"/>
          <w:szCs w:val="20"/>
        </w:rPr>
        <w:t xml:space="preserve">З</w:t>
      </w:r>
      <w:r>
        <w:rPr>
          <w:rFonts w:eastAsiaTheme="minorHAnsi"/>
          <w:b/>
          <w:bCs/>
          <w:sz w:val="20"/>
          <w:szCs w:val="20"/>
        </w:rPr>
        <w:t xml:space="preserve">ОНА ОБЪЕКТОВ ОБОРОНЫ И ИНОГО СПЕЦИАЛЬНОГО НАЗНАЧЕНИЯ</w:t>
      </w:r>
      <w:r>
        <w:rPr>
          <w:rFonts w:cs="Arial" w:eastAsiaTheme="minorHAnsi"/>
          <w:szCs w:val="26"/>
        </w:rPr>
      </w:r>
      <w:r>
        <w:rPr>
          <w:rFonts w:cs="Arial" w:eastAsiaTheme="minorHAnsi"/>
          <w:szCs w:val="26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1. Параметры: 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70"/>
        <w:gridCol w:w="2175"/>
        <w:gridCol w:w="979"/>
        <w:gridCol w:w="2112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2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2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Предназначена для размещения объектов, в отношении территорий которых устан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авливается особый режим, порядок использования территории определяется федеральными органами исполнительной власти и органами исполнительной власти субъекта Федерации по согласованию с органами местного самоуправления в соответствии с Федеральными законами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Зона предназначена для размещения объектов обороны, безопасности, а также мест содержания под стражей подозреваемых и обвиняемых, учреждений и органов, исполняющих наказание, установления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санитарно-защитных зон указанных объектов, размещения иных объектов, связанных с объектами, расположенными в зоне режимных территорий, либо с обслуживанием таких объектов.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3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 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0,8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3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3 этажа (включая мансардный этаж)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3" w:type="pct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100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2</w:t>
      </w:r>
      <w:r>
        <w:rPr>
          <w:rFonts w:eastAsia="Times New Roman" w:cs="Times New Roman"/>
          <w:b/>
          <w:bCs/>
          <w:sz w:val="24"/>
          <w:szCs w:val="24"/>
        </w:rPr>
        <w:t xml:space="preserve">. Сведения о планируемых для размещения объектах федерального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федерального значения в пределах зоны режимных территорий не предусмотрено действующими документами территориального планирования Российской Федерации.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3. Сведения о планируемых для размещения объектах регионального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</w:rPr>
      </w:pPr>
      <w:r>
        <w:rPr>
          <w:rFonts w:eastAsia="Times New Roman" w:cs="Times New Roman"/>
          <w:sz w:val="24"/>
          <w:szCs w:val="24"/>
        </w:rPr>
        <w:t xml:space="preserve">Размещение планируемых объектов регионального значения в пределах зоны режимных территорий </w:t>
      </w:r>
      <w:bookmarkStart w:id="0" w:name="undefined"/>
      <w:r>
        <w:rPr>
          <w:rFonts w:eastAsia="Times New Roman" w:cs="Times New Roman"/>
          <w:sz w:val="24"/>
          <w:szCs w:val="24"/>
        </w:rPr>
        <w:t xml:space="preserve">не предусмотрено Схемой территориального планирования Республики Адыгея.</w:t>
      </w:r>
      <w:bookmarkEnd w:id="0"/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jc w:val="both"/>
        <w:spacing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jc w:val="both"/>
        <w:spacing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     </w:t>
      </w:r>
      <w:r>
        <w:rPr>
          <w:rFonts w:eastAsia="Times New Roman" w:cs="Times New Roman"/>
          <w:sz w:val="24"/>
          <w:szCs w:val="24"/>
        </w:rPr>
        <w:t xml:space="preserve">В пределах зоны режимных территорий и объектов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размещаются объекты местного значения в сфере водоснабжения, водоотведения и электроснабжения.</w:t>
      </w: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</w:p>
    <w:p>
      <w:pPr>
        <w:jc w:val="both"/>
        <w:spacing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  <w:r>
        <w:rPr>
          <w:rFonts w:eastAsia="Times New Roman" w:cs="Times New Roman"/>
          <w:b/>
          <w:sz w:val="28"/>
          <w:szCs w:val="28"/>
        </w:rPr>
      </w:r>
    </w:p>
    <w:p>
      <w:pPr>
        <w:pStyle w:val="756"/>
        <w:jc w:val="center"/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ЗОНЫ СПЕЦИАЛЬНОГО НАЗНАЧЕНИЯ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757"/>
        <w:numPr>
          <w:ilvl w:val="0"/>
          <w:numId w:val="31"/>
        </w:numPr>
        <w:spacing w:line="240" w:lineRule="auto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  <w:t xml:space="preserve">Параметры: 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51"/>
        <w:gridCol w:w="2534"/>
        <w:gridCol w:w="724"/>
        <w:gridCol w:w="3227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pct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Зона выделена для обеспечения правовых условий использования участков кладбищ. Размещение зданий и сооружений разрешается с эксплуатацией источников водоснабжения и очистных сооружений в соответствии с приведенным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списком только после получения специальных согласований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0,6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с отправлением культа - до 17 м.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не связанных с отправлением культа - до 6 м.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существления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религиозных для обрядов – 30 м.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pStyle w:val="757"/>
        <w:jc w:val="both"/>
        <w:spacing w:line="240" w:lineRule="auto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</w:p>
    <w:p>
      <w:pPr>
        <w:pStyle w:val="776"/>
        <w:ind w:firstLine="567"/>
        <w:jc w:val="both"/>
        <w:spacing w:line="240" w:lineRule="auto"/>
        <w:rPr>
          <w:rFonts w:eastAsiaTheme="minorHAnsi"/>
          <w:spacing w:val="-1"/>
          <w:sz w:val="24"/>
          <w:szCs w:val="24"/>
        </w:rPr>
      </w:pPr>
      <w:r>
        <w:rPr>
          <w:rFonts w:eastAsiaTheme="minorHAnsi"/>
          <w:spacing w:val="-1"/>
          <w:sz w:val="24"/>
          <w:szCs w:val="24"/>
          <w:lang w:eastAsia="en-US"/>
        </w:rPr>
        <w:t xml:space="preserve">Размещение планируемых объектов федерального значения в пределах зоны </w:t>
      </w:r>
      <w:r>
        <w:rPr>
          <w:rFonts w:eastAsiaTheme="minorHAnsi"/>
          <w:spacing w:val="-1"/>
          <w:sz w:val="24"/>
          <w:szCs w:val="24"/>
          <w:lang w:eastAsia="en-US"/>
        </w:rPr>
        <w:t xml:space="preserve">специального назначения</w:t>
      </w:r>
      <w:r>
        <w:rPr>
          <w:rFonts w:eastAsiaTheme="minorHAnsi"/>
          <w:spacing w:val="-1"/>
          <w:sz w:val="24"/>
          <w:szCs w:val="24"/>
          <w:lang w:eastAsia="en-US"/>
        </w:rPr>
        <w:t xml:space="preserve"> не предусмотрено действующими документами территориального планирования Российской Федерации.</w:t>
      </w:r>
      <w:r>
        <w:rPr>
          <w:rFonts w:eastAsiaTheme="minorHAnsi"/>
          <w:spacing w:val="-1"/>
          <w:sz w:val="24"/>
          <w:szCs w:val="24"/>
        </w:rPr>
      </w:r>
      <w:r>
        <w:rPr>
          <w:rFonts w:eastAsiaTheme="minorHAnsi"/>
          <w:spacing w:val="-1"/>
          <w:sz w:val="24"/>
          <w:szCs w:val="24"/>
        </w:rPr>
      </w:r>
    </w:p>
    <w:p>
      <w:pPr>
        <w:pStyle w:val="757"/>
        <w:jc w:val="both"/>
        <w:spacing w:line="240" w:lineRule="auto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 w:val="24"/>
          <w:szCs w:val="24"/>
        </w:rPr>
        <w:t xml:space="preserve">3. Сведения о планируемых для размещения объектах регионального значения. 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Размещение планируемых объектов регионального значения в пределах зоны специального назначения не предусмотрено Схемой территориального планирования Республики Адыгея.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757"/>
        <w:jc w:val="both"/>
        <w:spacing w:before="0" w:line="240" w:lineRule="auto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</w:rPr>
      </w:r>
      <w:r>
        <w:rPr>
          <w:rFonts w:ascii="Times New Roman" w:hAnsi="Times New Roman" w:cs="Times New Roman"/>
          <w:b/>
          <w:bCs/>
          <w:i w:val="0"/>
          <w:iCs w:val="0"/>
          <w:color w:val="auto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 пределах зоны специального назначения размещаются объекты местного значения в сфере водоснабжения и электроснабжения.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756"/>
        <w:jc w:val="center"/>
        <w:spacing w:line="240" w:lineRule="auto"/>
        <w:rPr>
          <w:rFonts w:cs="Arial" w:eastAsiaTheme="minorHAnsi"/>
          <w:szCs w:val="26"/>
        </w:rPr>
      </w:pPr>
      <w:r>
        <w:rPr>
          <w:rFonts w:eastAsiaTheme="minorHAnsi"/>
          <w:b/>
          <w:bCs/>
          <w:sz w:val="20"/>
          <w:szCs w:val="20"/>
        </w:rPr>
        <w:t xml:space="preserve">ЗОНА АКВАТОРИЙ</w:t>
      </w:r>
      <w:r>
        <w:rPr>
          <w:rFonts w:cs="Arial" w:eastAsiaTheme="minorHAnsi"/>
          <w:szCs w:val="26"/>
        </w:rPr>
      </w:r>
      <w:r>
        <w:rPr>
          <w:rFonts w:cs="Arial" w:eastAsiaTheme="minorHAnsi"/>
          <w:szCs w:val="26"/>
        </w:rPr>
      </w:r>
    </w:p>
    <w:p>
      <w:pPr>
        <w:pStyle w:val="757"/>
        <w:spacing w:line="240" w:lineRule="auto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Cs w:val="28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 w:val="24"/>
          <w:szCs w:val="24"/>
        </w:rPr>
        <w:t xml:space="preserve">1. Параметры: 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Cs w:val="28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11"/>
        <w:gridCol w:w="3016"/>
        <w:gridCol w:w="1133"/>
        <w:gridCol w:w="2376"/>
      </w:tblGrid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Назначение функциональной зоны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8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Наименование параметра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Значение</w:t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  <w:r>
              <w:rPr>
                <w:rFonts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1" w:type="pct"/>
            <w:vMerge w:val="restart"/>
            <w:textDirection w:val="lrTb"/>
            <w:noWrap w:val="false"/>
          </w:tcPr>
          <w:p>
            <w:pPr>
              <w:pStyle w:val="1131"/>
              <w:jc w:val="both"/>
              <w:spacing w:line="240" w:lineRule="auto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Предназначена для земельных участков в составе земель водного фонда. В соответствии со статьёй 36 Градостроительного кодекса Российской Федерации градостроительные регламенты в этих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зонах не устанавливаются.</w:t>
            </w:r>
            <w:r>
              <w:rPr>
                <w:rFonts w:eastAsia="Times New Roman"/>
                <w:color w:val="auto"/>
                <w:sz w:val="20"/>
                <w:szCs w:val="20"/>
                <w:lang w:eastAsia="en-US"/>
              </w:rPr>
            </w:r>
            <w:r>
              <w:rPr>
                <w:rFonts w:eastAsia="Times New Roman"/>
                <w:color w:val="auto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8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 допустимый коэффициент застройки зоны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ед.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" w:type="pct"/>
            <w:vAlign w:val="center"/>
            <w:textDirection w:val="lrTb"/>
            <w:noWrap w:val="false"/>
          </w:tcPr>
          <w:p>
            <w:pPr>
              <w:pStyle w:val="1126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не установлено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5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8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максимальное количество надземных этажей зданий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эт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8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максимальная высота строений от уровня земли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pct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м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2" w:type="pct"/>
            <w:vAlign w:val="center"/>
            <w:textDirection w:val="lrTb"/>
            <w:noWrap w:val="false"/>
          </w:tcPr>
          <w:p>
            <w:pPr>
              <w:spacing w:line="240" w:lineRule="auto"/>
              <w:tabs>
                <w:tab w:val="left" w:pos="376" w:leader="none"/>
                <w:tab w:val="left" w:pos="854" w:leader="none"/>
              </w:tabs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pStyle w:val="757"/>
        <w:spacing w:line="240" w:lineRule="auto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 w:val="24"/>
          <w:szCs w:val="24"/>
        </w:rPr>
        <w:t xml:space="preserve">2. Сведения о планируемых для размещения объектах федерального значения.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</w:rPr>
      </w:r>
    </w:p>
    <w:p>
      <w:pPr>
        <w:pStyle w:val="776"/>
        <w:ind w:firstLine="567"/>
        <w:jc w:val="both"/>
        <w:spacing w:line="240" w:lineRule="auto"/>
        <w:rPr>
          <w:rFonts w:eastAsiaTheme="minorHAnsi"/>
          <w:spacing w:val="-1"/>
          <w:sz w:val="24"/>
          <w:szCs w:val="24"/>
        </w:rPr>
      </w:pPr>
      <w:r>
        <w:rPr>
          <w:rFonts w:eastAsiaTheme="minorHAnsi"/>
          <w:spacing w:val="-1"/>
          <w:sz w:val="24"/>
          <w:szCs w:val="24"/>
          <w:lang w:eastAsia="en-US"/>
        </w:rPr>
        <w:t xml:space="preserve">Размещение планируемых объектов федерального значения в пределах зоны акваторий не предусмотрено действующими документами территориального планирования Российской Федерации.</w:t>
      </w:r>
      <w:r>
        <w:rPr>
          <w:rFonts w:eastAsiaTheme="minorHAnsi"/>
          <w:spacing w:val="-1"/>
          <w:sz w:val="24"/>
          <w:szCs w:val="24"/>
        </w:rPr>
      </w:r>
      <w:r>
        <w:rPr>
          <w:rFonts w:eastAsiaTheme="minorHAnsi"/>
          <w:spacing w:val="-1"/>
          <w:sz w:val="24"/>
          <w:szCs w:val="24"/>
        </w:rPr>
      </w:r>
    </w:p>
    <w:p>
      <w:pPr>
        <w:pStyle w:val="757"/>
        <w:spacing w:line="240" w:lineRule="auto"/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Cs w:val="28"/>
        </w:rPr>
      </w:pP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 w:val="24"/>
          <w:szCs w:val="24"/>
        </w:rPr>
        <w:t xml:space="preserve">3. Сведения о планируемых для размещения объектах регионального значения. </w:t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Cs w:val="28"/>
        </w:rPr>
      </w:r>
      <w:r>
        <w:rPr>
          <w:rFonts w:ascii="Times New Roman" w:hAnsi="Times New Roman" w:cs="Times New Roman" w:eastAsiaTheme="minorHAnsi"/>
          <w:b/>
          <w:bCs/>
          <w:i w:val="0"/>
          <w:iCs w:val="0"/>
          <w:color w:val="auto"/>
          <w:szCs w:val="28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Размещение планируемых объектов регионального значения в пределах зоны акваторий не предусмотрено Схемой территориального планирования Республики Адыгея.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757"/>
        <w:spacing w:line="240" w:lineRule="auto"/>
        <w:rPr>
          <w:rFonts w:ascii="Times New Roman" w:hAnsi="Times New Roman" w:cs="Times New Roman"/>
          <w:b/>
          <w:bCs/>
          <w:i w:val="0"/>
          <w:iCs w:val="0"/>
          <w:color w:val="auto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4. Сведения о планируемых для размещения объектах местного значения.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Cs w:val="28"/>
        </w:rPr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Cs w:val="28"/>
        </w:rPr>
      </w:r>
    </w:p>
    <w:p>
      <w:pPr>
        <w:pStyle w:val="1126"/>
        <w:ind w:firstLine="567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Размещение объектов местного значения в пределах зоны акваторий не предусмотрено. 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1137"/>
        <w:numPr>
          <w:ilvl w:val="0"/>
          <w:numId w:val="32"/>
        </w:numPr>
        <w:ind w:left="714" w:hanging="357"/>
        <w:spacing w:before="0" w:after="0" w:line="240" w:lineRule="auto"/>
      </w:pPr>
      <w:r/>
      <w:bookmarkStart w:id="0" w:name="undefined"/>
      <w:r>
        <w:t xml:space="preserve"> ХАРАКТЕРИСТИКИ ЗОН С ОСОБЫМИ УСЛОВИЯМИ ИСПОЛЬЗОВАНИЯ ТЕРРИТОРИЙ, УСТАНОВЛЕНИЕ КОТОРЫХ ТРЕБУЕТСЯ В СВЯЗИ С РАЗМЕЩЕНИЕМ ОБЪЕКТОВМЕСТНОГО ЗНАЧЕНИЯ </w:t>
      </w:r>
      <w:bookmarkEnd w:id="0"/>
      <w:r/>
      <w:r/>
    </w:p>
    <w:p>
      <w:pPr>
        <w:pStyle w:val="1131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          </w:t>
      </w:r>
      <w:r>
        <w:rPr>
          <w:color w:val="auto"/>
          <w:sz w:val="24"/>
          <w:szCs w:val="24"/>
        </w:rPr>
        <w:t xml:space="preserve">  </w:t>
      </w:r>
      <w:r>
        <w:rPr>
          <w:color w:val="auto"/>
          <w:sz w:val="24"/>
          <w:szCs w:val="24"/>
        </w:rPr>
        <w:t xml:space="preserve">В соответствии со статьей 1 Градостроительного ко</w:t>
      </w:r>
      <w:r>
        <w:rPr>
          <w:color w:val="auto"/>
          <w:sz w:val="24"/>
          <w:szCs w:val="24"/>
        </w:rPr>
        <w:t xml:space="preserve">декса Российской Федерации, к зонам с особыми условиями использования территорий относятся: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</w:t>
      </w:r>
      <w:r>
        <w:rPr>
          <w:color w:val="auto"/>
          <w:sz w:val="24"/>
          <w:szCs w:val="24"/>
        </w:rPr>
        <w:t xml:space="preserve">го наследия), водоохранные зоны, зоны затопления, подтопления,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 </w:t>
      </w:r>
      <w:r>
        <w:rPr>
          <w:color w:val="auto"/>
        </w:rPr>
      </w:r>
      <w:r>
        <w:rPr>
          <w:color w:val="auto"/>
        </w:rPr>
      </w:r>
    </w:p>
    <w:p>
      <w:pPr>
        <w:ind w:firstLine="709"/>
        <w:jc w:val="both"/>
        <w:spacing w:line="240" w:lineRule="auto"/>
        <w:rPr>
          <w:b/>
        </w:rPr>
      </w:pPr>
      <w:r>
        <w:rPr>
          <w:sz w:val="24"/>
          <w:szCs w:val="24"/>
        </w:rPr>
        <w:t xml:space="preserve">В Генеральном плане учитываются следующие основные охранные и защитные (специальные) зоны, которые устанавливают ограничения на использование земельных участков и объектов капитального строительства, в соответствии с законодательством Российской Федерации:</w:t>
      </w:r>
      <w:r>
        <w:rPr>
          <w:b/>
        </w:rPr>
      </w:r>
      <w:r>
        <w:rPr>
          <w:b/>
        </w:rPr>
      </w:r>
    </w:p>
    <w:p>
      <w:pPr>
        <w:pStyle w:val="1135"/>
        <w:ind w:left="0" w:firstLine="709"/>
        <w:spacing w:before="0" w:line="240" w:lineRule="auto"/>
        <w:rPr>
          <w:b/>
          <w:bCs/>
        </w:rPr>
      </w:pPr>
      <w:r>
        <w:rPr>
          <w:b/>
          <w:bCs/>
        </w:rPr>
        <w:t xml:space="preserve">Таблица 2 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center"/>
        <w:spacing w:line="240" w:lineRule="auto"/>
        <w:rPr>
          <w:b/>
          <w:bCs/>
        </w:rPr>
      </w:pPr>
      <w:r>
        <w:rPr>
          <w:b/>
          <w:bCs/>
        </w:rPr>
        <w:t xml:space="preserve">Зоны с особыми условиями использования территорий МО</w:t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3510"/>
        <w:gridCol w:w="6626"/>
      </w:tblGrid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spacing w:line="240" w:lineRule="auto"/>
            </w:pPr>
            <w:r>
              <w:rPr>
                <w:b/>
              </w:rPr>
              <w:t xml:space="preserve">Вид зон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ind w:firstLine="709"/>
              <w:jc w:val="both"/>
              <w:spacing w:line="240" w:lineRule="auto"/>
              <w:rPr>
                <w:b/>
              </w:rPr>
            </w:pPr>
            <w:r>
              <w:rPr>
                <w:b/>
              </w:rPr>
              <w:t xml:space="preserve">Нормативно-правовое основание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both"/>
              <w:spacing w:line="240" w:lineRule="auto"/>
            </w:pPr>
            <w:r>
              <w:rPr>
                <w:b/>
              </w:rPr>
              <w:t xml:space="preserve">установления зоны</w:t>
            </w:r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spacing w:line="240" w:lineRule="auto"/>
            </w:pPr>
            <w:r>
              <w:rPr>
                <w:lang w:val="en-US"/>
              </w:rPr>
              <w:t xml:space="preserve">Приаэродромная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территория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pStyle w:val="1131"/>
              <w:ind w:firstLine="709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Воздушный кодекс Российской Федерации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131"/>
              <w:ind w:firstLine="709"/>
              <w:jc w:val="both"/>
              <w:spacing w:line="240" w:lineRule="auto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Охранные зоны объектов электросетевого хозяйства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Постановление Правительства Российской Федерации от 24.02. 2009 г. №160</w:t>
            </w:r>
            <w:r>
              <w:rPr>
                <w:color w:val="auto"/>
              </w:rPr>
              <w:t xml:space="preserve"> </w:t>
            </w:r>
            <w:r>
              <w:t xml:space="preserve"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Охранные зоны объектов системы газоснабжения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Федеральный закон от 31.03.1999 г.</w:t>
            </w:r>
            <w:r>
              <w:rPr>
                <w:color w:val="auto"/>
              </w:rPr>
              <w:t xml:space="preserve"> </w:t>
            </w:r>
            <w:r>
              <w:t xml:space="preserve">№ 69-ФЗ «О газоснабжении в Российской Федерации»; Постановление Правительства Российской Федерации от 20.11.2000г. № 878 «Об утверждении Правил охраны газораспределительных сетей»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Охранные зоны магистральных трубопроводо</w:t>
            </w:r>
            <w:r>
              <w:t xml:space="preserve">в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ind w:firstLine="454"/>
              <w:jc w:val="both"/>
              <w:spacing w:line="240" w:lineRule="auto"/>
            </w:pPr>
            <w:r>
              <w:t xml:space="preserve">Правила охраны магистральных трубопроводов, утвержденные Минтопэнерго РФ 29.04.1992, Постановлением Госгортехнадзора РФ от 22.04.1992г. № 9</w:t>
            </w:r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Охранные зоны канализационных систем и сооружений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ind w:firstLine="454"/>
              <w:jc w:val="both"/>
              <w:spacing w:line="240" w:lineRule="auto"/>
            </w:pPr>
            <w:r>
              <w:t xml:space="preserve">МДК 3-02.2001. Правила технической эксплуатации систем и сооружений коммунального водоснабжения и канализации</w:t>
            </w:r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Придорожные полосы</w:t>
            </w:r>
            <w:r>
              <w:t xml:space="preserve"> </w:t>
            </w:r>
            <w:r>
              <w:t xml:space="preserve">автомобильных дорог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Федеральный закон 8 ноября 2007 года N 257-ФЗ «Об </w:t>
            </w:r>
            <w:r>
              <w:rPr>
                <w:color w:val="auto"/>
              </w:rPr>
              <w:t xml:space="preserve"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Приказ Минтранса РФ от 13.01.2010 N 4</w:t>
            </w:r>
            <w:r>
              <w:rPr>
                <w:color w:val="auto"/>
              </w:rPr>
              <w:t xml:space="preserve"> «</w:t>
            </w:r>
            <w:r>
              <w:t xml:space="preserve">Об установлении и использовании придорожных полос автомобильных дорог федерального значения</w:t>
            </w:r>
            <w:r>
              <w:rPr>
                <w:color w:val="auto"/>
              </w:rPr>
              <w:t xml:space="preserve">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Охранные зоны государственных природных</w:t>
            </w:r>
            <w:r>
              <w:t xml:space="preserve"> </w:t>
            </w:r>
            <w:r>
              <w:t xml:space="preserve">заповедников, национальных парков, природных парков, государственных природных заказников, памятников природы, дендрологических парков и ботанических садов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Федеральный закон от 14.03.1995г. № 33-ФЗ «Об особо охраняемых природных территориях»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jc w:val="both"/>
              <w:spacing w:line="240" w:lineRule="auto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Охранные зоны воинских захоронений</w:t>
            </w:r>
            <w:r/>
          </w:p>
        </w:tc>
        <w:tc>
          <w:tcPr>
            <w:tcW w:w="6626" w:type="dxa"/>
            <w:textDirection w:val="lrTb"/>
            <w:noWrap w:val="false"/>
          </w:tcPr>
          <w:p>
            <w:pPr>
              <w:ind w:firstLine="454"/>
              <w:jc w:val="both"/>
              <w:spacing w:line="240" w:lineRule="auto"/>
            </w:pPr>
            <w:r>
              <w:t xml:space="preserve">Закон РФ от 14.01.1993 г. № 4292-1 «Об увековечении памяти погибших при защите Отечества»</w:t>
            </w:r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pStyle w:val="1131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Водоохранные зоны рек, ручьев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6626" w:type="dxa"/>
            <w:vAlign w:val="center"/>
            <w:vMerge w:val="restart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Водный кодекс Российской Федерации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Земельный кодекс Российской Федерации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ind w:firstLine="454"/>
              <w:jc w:val="both"/>
              <w:spacing w:line="240" w:lineRule="auto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Водоохранные зоны озер, водохранилищ</w:t>
            </w:r>
            <w:r/>
          </w:p>
        </w:tc>
        <w:tc>
          <w:tcPr>
            <w:tcW w:w="6626" w:type="dxa"/>
            <w:vMerge w:val="continue"/>
            <w:textDirection w:val="lrTb"/>
            <w:noWrap w:val="false"/>
          </w:tcPr>
          <w:p>
            <w:pPr>
              <w:ind w:firstLine="454"/>
              <w:jc w:val="both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pStyle w:val="1131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Прибрежная защитная полоса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6626" w:type="dxa"/>
            <w:vMerge w:val="continue"/>
            <w:textDirection w:val="lrTb"/>
            <w:noWrap w:val="false"/>
          </w:tcPr>
          <w:p>
            <w:pPr>
              <w:ind w:firstLine="454"/>
              <w:jc w:val="both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Охранная зона объекта культурного наследия</w:t>
            </w:r>
            <w:r/>
          </w:p>
        </w:tc>
        <w:tc>
          <w:tcPr>
            <w:tcW w:w="6626" w:type="dxa"/>
            <w:vAlign w:val="center"/>
            <w:vMerge w:val="restart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Федеральный закон от 25.06.2002г.</w:t>
            </w:r>
            <w:r>
              <w:rPr>
                <w:color w:val="auto"/>
              </w:rPr>
              <w:t xml:space="preserve"> </w:t>
            </w:r>
            <w:r>
              <w:t xml:space="preserve">№73-ФЗ «Об объектах культурного наследия (памятниках истории и</w:t>
            </w:r>
            <w:r>
              <w:t xml:space="preserve"> </w:t>
            </w:r>
            <w:r>
              <w:t xml:space="preserve">культуры) народов Российской Федерации»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Зона регулирования застройки и хозяйственной деятельности</w:t>
            </w:r>
            <w:r/>
          </w:p>
        </w:tc>
        <w:tc>
          <w:tcPr>
            <w:tcW w:w="6626" w:type="dxa"/>
            <w:vMerge w:val="continue"/>
            <w:textDirection w:val="lrTb"/>
            <w:noWrap w:val="false"/>
          </w:tcPr>
          <w:p>
            <w:pPr>
              <w:ind w:firstLine="454"/>
              <w:jc w:val="both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Зона охраняемого природного ландшафта</w:t>
            </w:r>
            <w:r/>
          </w:p>
        </w:tc>
        <w:tc>
          <w:tcPr>
            <w:tcW w:w="6626" w:type="dxa"/>
            <w:vMerge w:val="continue"/>
            <w:textDirection w:val="lrTb"/>
            <w:noWrap w:val="false"/>
          </w:tcPr>
          <w:p>
            <w:pPr>
              <w:ind w:firstLine="454"/>
              <w:jc w:val="both"/>
            </w:pPr>
            <w:r/>
            <w:r/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Зоны санитарной охраны источников и водопроводов питьевого назначения</w:t>
            </w:r>
            <w:r/>
          </w:p>
        </w:tc>
        <w:tc>
          <w:tcPr>
            <w:tcW w:w="6626" w:type="dxa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СанПиН 2.1.4.1110-02 «Зоны санитарной охраны источников</w:t>
            </w:r>
            <w:r>
              <w:rPr>
                <w:color w:val="auto"/>
              </w:rPr>
              <w:t xml:space="preserve"> </w:t>
            </w:r>
            <w:r>
              <w:t xml:space="preserve">водоснабжения и водопроводов питьевого назначения»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Санитарно-защитные зоны предприятий, сооружений и иных объектов I-V классов вредности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pStyle w:val="1131"/>
              <w:ind w:firstLine="454"/>
              <w:jc w:val="both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СанПиН 2.2.1/2.1.1.1200-03</w:t>
            </w:r>
            <w:r>
              <w:rPr>
                <w:color w:val="auto"/>
              </w:rPr>
              <w:t xml:space="preserve"> </w:t>
            </w:r>
            <w:r>
              <w:t xml:space="preserve">«Санитарно-защитные зоны и санитарная классификация предприятий, сооружений и иных объектов»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t xml:space="preserve">Зоны затопления, подтопления</w:t>
            </w:r>
            <w:r/>
          </w:p>
        </w:tc>
        <w:tc>
          <w:tcPr>
            <w:tcW w:w="6626" w:type="dxa"/>
            <w:vAlign w:val="center"/>
            <w:textDirection w:val="lrTb"/>
            <w:noWrap w:val="false"/>
          </w:tcPr>
          <w:p>
            <w:pPr>
              <w:ind w:firstLine="454"/>
              <w:jc w:val="both"/>
              <w:spacing w:line="240" w:lineRule="auto"/>
            </w:pPr>
            <w:r>
              <w:t xml:space="preserve">Водный кодекс Российской Федерации</w:t>
            </w:r>
            <w:r/>
          </w:p>
        </w:tc>
      </w:tr>
    </w:tbl>
    <w:p>
      <w:pPr>
        <w:ind w:firstLine="709"/>
        <w:jc w:val="both"/>
        <w:spacing w:line="240" w:lineRule="auto"/>
      </w:pPr>
      <w:r/>
      <w:r/>
    </w:p>
    <w:p>
      <w:pPr>
        <w:pStyle w:val="754"/>
        <w:numPr>
          <w:ilvl w:val="0"/>
          <w:numId w:val="32"/>
        </w:numPr>
        <w:jc w:val="center"/>
        <w:spacing w:before="0" w:after="0" w:line="240" w:lineRule="auto"/>
      </w:pPr>
      <w:r>
        <w:rPr>
          <w:color w:val="22272f"/>
          <w:sz w:val="24"/>
          <w:szCs w:val="24"/>
        </w:rPr>
        <w:t xml:space="preserve">сведения о границах населенных пунктов                                                             (в том числе границах образуемых населенных пунктов)</w:t>
      </w:r>
      <w:r/>
    </w:p>
    <w:p>
      <w:pPr>
        <w:ind w:firstLine="709"/>
        <w:jc w:val="both"/>
        <w:spacing w:line="240" w:lineRule="auto"/>
      </w:pPr>
      <w:r/>
      <w:r/>
    </w:p>
    <w:p>
      <w:pPr>
        <w:jc w:val="both"/>
        <w:spacing w:line="240" w:lineRule="auto"/>
        <w:rPr>
          <w:bCs/>
          <w:color w:val="22272f"/>
        </w:rPr>
      </w:pPr>
      <w:r>
        <w:rPr>
          <w:color w:val="22272f"/>
        </w:rPr>
        <w:t xml:space="preserve">    </w:t>
      </w:r>
      <w:r>
        <w:rPr>
          <w:bCs/>
          <w:color w:val="22272f"/>
        </w:rPr>
        <w:t xml:space="preserve">Проектом внесения изменения в </w:t>
      </w:r>
      <w:r>
        <w:rPr>
          <w:bCs/>
          <w:color w:val="22272f"/>
        </w:rPr>
        <w:t xml:space="preserve">Г</w:t>
      </w:r>
      <w:r>
        <w:rPr>
          <w:bCs/>
          <w:color w:val="22272f"/>
        </w:rPr>
        <w:t xml:space="preserve">енеральный план </w:t>
      </w:r>
      <w:r>
        <w:rPr>
          <w:bCs/>
          <w:color w:val="22272f"/>
        </w:rPr>
        <w:t xml:space="preserve">Тлюстенхабльского</w:t>
      </w:r>
      <w:r>
        <w:rPr>
          <w:bCs/>
          <w:color w:val="22272f"/>
        </w:rPr>
        <w:t xml:space="preserve"> городского поселения планируется изменение границ </w:t>
      </w:r>
      <w:r>
        <w:rPr>
          <w:bCs/>
          <w:color w:val="22272f"/>
        </w:rPr>
        <w:t xml:space="preserve">существующ</w:t>
      </w:r>
      <w:r>
        <w:rPr>
          <w:bCs/>
          <w:color w:val="22272f"/>
        </w:rPr>
        <w:t xml:space="preserve">их</w:t>
      </w:r>
      <w:r>
        <w:rPr>
          <w:bCs/>
          <w:color w:val="22272f"/>
        </w:rPr>
        <w:t xml:space="preserve"> </w:t>
      </w:r>
      <w:r>
        <w:rPr>
          <w:bCs/>
          <w:color w:val="22272f"/>
        </w:rPr>
        <w:t xml:space="preserve">населенн</w:t>
      </w:r>
      <w:r>
        <w:rPr>
          <w:bCs/>
          <w:color w:val="22272f"/>
        </w:rPr>
        <w:t xml:space="preserve">ых</w:t>
      </w:r>
      <w:r>
        <w:rPr>
          <w:bCs/>
          <w:color w:val="22272f"/>
        </w:rPr>
        <w:t xml:space="preserve"> </w:t>
      </w:r>
      <w:r>
        <w:rPr>
          <w:bCs/>
          <w:color w:val="22272f"/>
        </w:rPr>
        <w:t xml:space="preserve">пункт</w:t>
      </w:r>
      <w:r>
        <w:rPr>
          <w:bCs/>
          <w:color w:val="22272f"/>
        </w:rPr>
        <w:t xml:space="preserve">ов а. </w:t>
      </w:r>
      <w:r>
        <w:rPr>
          <w:bCs/>
          <w:color w:val="22272f"/>
        </w:rPr>
        <w:t xml:space="preserve">Тугургой</w:t>
      </w:r>
      <w:r>
        <w:rPr>
          <w:bCs/>
          <w:color w:val="22272f"/>
        </w:rPr>
        <w:t xml:space="preserve"> и </w:t>
      </w:r>
      <w:r>
        <w:rPr>
          <w:bCs/>
          <w:color w:val="22272f"/>
        </w:rPr>
        <w:t xml:space="preserve">пгт</w:t>
      </w:r>
      <w:r>
        <w:rPr>
          <w:bCs/>
          <w:color w:val="22272f"/>
        </w:rPr>
        <w:t xml:space="preserve">. Тлюстенхабль.</w:t>
      </w:r>
      <w:r>
        <w:rPr>
          <w:bCs/>
          <w:color w:val="22272f"/>
        </w:rPr>
      </w:r>
      <w:r>
        <w:rPr>
          <w:bCs/>
          <w:color w:val="22272f"/>
        </w:rPr>
      </w:r>
    </w:p>
    <w:p>
      <w:pPr>
        <w:jc w:val="both"/>
        <w:spacing w:line="240" w:lineRule="auto"/>
        <w:rPr>
          <w:bCs/>
          <w:color w:val="22272f"/>
        </w:rPr>
      </w:pPr>
      <w:r>
        <w:rPr>
          <w:bCs/>
          <w:color w:val="22272f"/>
        </w:rPr>
      </w:r>
      <w:r>
        <w:rPr>
          <w:bCs/>
          <w:color w:val="22272f"/>
        </w:rPr>
      </w:r>
      <w:r>
        <w:rPr>
          <w:bCs/>
          <w:color w:val="22272f"/>
        </w:rPr>
      </w:r>
    </w:p>
    <w:p>
      <w:pPr>
        <w:pStyle w:val="756"/>
        <w:spacing w:line="240" w:lineRule="auto"/>
        <w:rPr>
          <w:rFonts w:eastAsia="Calibri"/>
          <w:szCs w:val="25"/>
        </w:rPr>
      </w:pPr>
      <w:r>
        <w:rPr>
          <w:rFonts w:eastAsia="Calibri"/>
          <w:szCs w:val="25"/>
        </w:rPr>
        <w:t xml:space="preserve">Баланс земель по категориям в проектных границах</w:t>
      </w:r>
      <w:r>
        <w:rPr>
          <w:rFonts w:eastAsia="Calibri"/>
          <w:szCs w:val="25"/>
        </w:rPr>
      </w:r>
      <w:r>
        <w:rPr>
          <w:rFonts w:eastAsia="Calibri"/>
          <w:szCs w:val="25"/>
        </w:rPr>
      </w:r>
    </w:p>
    <w:tbl>
      <w:tblPr>
        <w:tblW w:w="895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ook w:val="04A0" w:firstRow="1" w:lastRow="0" w:firstColumn="1" w:lastColumn="0" w:noHBand="0" w:noVBand="1"/>
      </w:tblPr>
      <w:tblGrid>
        <w:gridCol w:w="5432"/>
        <w:gridCol w:w="1670"/>
        <w:gridCol w:w="1856"/>
      </w:tblGrid>
      <w:tr>
        <w:tblPrEx/>
        <w:trPr>
          <w:jc w:val="center"/>
          <w:trHeight w:val="324"/>
        </w:trPr>
        <w:tc>
          <w:tcPr>
            <w:tcW w:w="543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Категории земель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gridSpan w:val="2"/>
            <w:tcW w:w="35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Проектное решение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24"/>
        </w:trPr>
        <w:tc>
          <w:tcPr>
            <w:tcW w:w="5432" w:type="dxa"/>
            <w:vAlign w:val="center"/>
            <w:vMerge w:val="continue"/>
            <w:textDirection w:val="lrTb"/>
            <w:noWrap w:val="false"/>
          </w:tcPr>
          <w:p>
            <w:pPr>
              <w:spacing w:line="264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Площадь, га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% соотношение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24"/>
        </w:trPr>
        <w:tc>
          <w:tcPr>
            <w:tcW w:w="5432" w:type="dxa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Территория, всего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670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19175.3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1856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324"/>
        </w:trPr>
        <w:tc>
          <w:tcPr>
            <w:tcW w:w="5432" w:type="dxa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в том числе: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vAlign w:val="bottom"/>
            <w:textDirection w:val="lrTb"/>
            <w:noWrap w:val="false"/>
          </w:tcPr>
          <w:p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1856" w:type="dxa"/>
            <w:vAlign w:val="bottom"/>
            <w:textDirection w:val="lrTb"/>
            <w:noWrap w:val="false"/>
          </w:tcPr>
          <w:p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</w:r>
          </w:p>
        </w:tc>
      </w:tr>
      <w:tr>
        <w:tblPrEx/>
        <w:trPr>
          <w:jc w:val="center"/>
          <w:trHeight w:val="324"/>
        </w:trPr>
        <w:tc>
          <w:tcPr>
            <w:tcW w:w="543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1. Земли населенных пунктов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591.9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3.37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29"/>
        </w:trPr>
        <w:tc>
          <w:tcPr>
            <w:tcW w:w="543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2. Земли сельскохозяйственного назначения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536.5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2.58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373"/>
        </w:trPr>
        <w:tc>
          <w:tcPr>
            <w:tcW w:w="543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840.0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4.14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24"/>
        </w:trPr>
        <w:tc>
          <w:tcPr>
            <w:tcW w:w="543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 Земли водного фонда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17204.0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89.81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74"/>
        </w:trPr>
        <w:tc>
          <w:tcPr>
            <w:tcW w:w="543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5. Земли особо охраняемых территорий и объектов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74"/>
        </w:trPr>
        <w:tc>
          <w:tcPr>
            <w:tcW w:w="543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6. Земли лесного фонда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0.02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756"/>
        <w:spacing w:line="240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pStyle w:val="756"/>
        <w:spacing w:line="240" w:lineRule="auto"/>
        <w:rPr>
          <w:rFonts w:eastAsia="Calibri"/>
        </w:rPr>
      </w:pPr>
      <w:r>
        <w:rPr>
          <w:rFonts w:eastAsia="Calibri"/>
        </w:rPr>
        <w:t xml:space="preserve">Основные параметры развития территории</w:t>
      </w:r>
      <w:r>
        <w:rPr>
          <w:rFonts w:eastAsia="Calibri"/>
        </w:rPr>
      </w:r>
      <w:r>
        <w:rPr>
          <w:rFonts w:eastAsia="Calibri"/>
        </w:rPr>
      </w:r>
    </w:p>
    <w:tbl>
      <w:tblPr>
        <w:tblW w:w="8840" w:type="dxa"/>
        <w:jc w:val="center"/>
        <w:tblLook w:val="04A0" w:firstRow="1" w:lastRow="0" w:firstColumn="1" w:lastColumn="0" w:noHBand="0" w:noVBand="1"/>
      </w:tblPr>
      <w:tblGrid>
        <w:gridCol w:w="1134"/>
        <w:gridCol w:w="4696"/>
        <w:gridCol w:w="1379"/>
        <w:gridCol w:w="1631"/>
      </w:tblGrid>
      <w:tr>
        <w:tblPrEx/>
        <w:trPr>
          <w:jc w:val="center"/>
          <w:trHeight w:val="648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W w:w="583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Показатели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8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Площадь, га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W w:w="163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% соотношение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648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cs="Times New Roman"/>
                <w:b/>
              </w:rPr>
              <w:t xml:space="preserve">1.1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Общая площадь земель сельского поселения в установленных границах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19175.3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100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cs="Times New Roman"/>
                <w:b/>
              </w:rPr>
              <w:t xml:space="preserve">1.2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4696" w:type="dxa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Общая площадь земель в границах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lang w:eastAsia="ru-RU"/>
              </w:rPr>
              <w:t xml:space="preserve">591.9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W w:w="16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lang w:eastAsia="ru-RU"/>
              </w:rPr>
              <w:t xml:space="preserve">3.37</w:t>
            </w:r>
            <w:r>
              <w:rPr>
                <w:rFonts w:eastAsia="Times New Roman" w:cs="Times New Roman"/>
                <w:b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24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line="264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textDirection w:val="lrTb"/>
            <w:noWrap w:val="false"/>
          </w:tcPr>
          <w:p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населенных пунктов в том числе: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W w:w="163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80"/>
                <w:lang w:eastAsia="ru-RU"/>
              </w:rPr>
            </w:pPr>
            <w:r>
              <w:rPr>
                <w:rFonts w:eastAsia="Times New Roman" w:cs="Times New Roman"/>
                <w:color w:val="000080"/>
                <w:lang w:eastAsia="ru-RU"/>
              </w:rPr>
              <w:t xml:space="preserve">1.2.1.</w:t>
            </w:r>
            <w:r>
              <w:rPr>
                <w:rFonts w:eastAsia="Times New Roman" w:cs="Times New Roman"/>
                <w:color w:val="000080"/>
                <w:lang w:eastAsia="ru-RU"/>
              </w:rPr>
            </w:r>
            <w:r>
              <w:rPr>
                <w:rFonts w:eastAsia="Times New Roman" w:cs="Times New Roman"/>
                <w:color w:val="00008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bottom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пгт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Тлюстенхабль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445.6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2,69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80"/>
                <w:lang w:eastAsia="ru-RU"/>
              </w:rPr>
              <w:t xml:space="preserve">1.2.2.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bottom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color w:val="000000"/>
                <w:sz w:val="22"/>
                <w:szCs w:val="22"/>
              </w:rPr>
              <w:t xml:space="preserve">Тугургой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146.3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0.68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gridSpan w:val="4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W w:w="884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1.3. Функциональные зоны в границах поселения: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1.3.1.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sz w:val="22"/>
                <w:szCs w:val="22"/>
              </w:rPr>
              <w:t xml:space="preserve">Жилые зоны (Зона комплексного развития)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53.5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0.23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6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1.3.2.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застройки индивидуальными жилыми домами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374.1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6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1.3.3.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застройки малоэтажными жилыми домами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12.2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6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1.3.4.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застройки </w:t>
            </w:r>
            <w:r>
              <w:rPr>
                <w:rFonts w:cs="Times New Roman"/>
                <w:color w:val="000000"/>
              </w:rPr>
              <w:t xml:space="preserve">среднеэтажными</w:t>
            </w:r>
            <w:r>
              <w:rPr>
                <w:rFonts w:cs="Times New Roman"/>
                <w:color w:val="000000"/>
              </w:rPr>
              <w:t xml:space="preserve"> жилыми домами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03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1.3.5.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инженерной инфраструктуры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5.2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1.3.6.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транспортной инфраструктуры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8.7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1.3.7.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режимных территорий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16.9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1.3.8.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озелененных территорий общего пользования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19.1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1.3.9.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сельскохозяйственного использования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8.6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1.3.10.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Производственная зона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56.2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0.49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1.3.11.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Общественно-деловая зона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4.5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1.3.12.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специализированной общественной застройки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5.9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3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1.3.13.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рекреационного назначения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14.6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1.3.14.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кладбищ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9.7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gridSpan w:val="4"/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W w:w="884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Функциональные зоны за границами поселения:</w:t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  <w:r>
              <w:rPr>
                <w:rFonts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1.4.1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Зоны сельскохозяйственных угодий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88.1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0.47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8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1.4.2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транспортной инфраструктуры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132.3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1.4.3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инженерной инфраструктуры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21.3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1.4.4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озелененных территорий общего пользования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19.3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1.4.5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Производственная зона сельскохозяйственных предприятий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383.7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1.99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1.4.6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Производственная зона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722.6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3.36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1.4.7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акваторий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17204.0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89.81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1.4.8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озелененных территорий специального назначения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11.1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0.06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1.4.9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4696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Зона лесов</w: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379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W w:w="1631" w:type="dxa"/>
            <w:vAlign w:val="bottom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0.01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jc w:val="center"/>
        <w:spacing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jc w:val="center"/>
        <w:spacing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spacing w:line="240" w:lineRule="auto"/>
        <w:rPr>
          <w:b/>
          <w:color w:val="22272f"/>
        </w:rPr>
      </w:pPr>
      <w:r>
        <w:rPr>
          <w:b/>
          <w:color w:val="22272f"/>
        </w:rPr>
      </w:r>
      <w:r>
        <w:rPr>
          <w:b/>
          <w:color w:val="22272f"/>
        </w:rPr>
      </w:r>
      <w:r>
        <w:rPr>
          <w:b/>
          <w:color w:val="22272f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567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82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Приказу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 </w:t>
      </w:r>
      <w:r>
        <w:rPr>
          <w:sz w:val="24"/>
          <w:szCs w:val="24"/>
        </w:rPr>
        <w:t xml:space="preserve">от 27.02.2026г. № 22-ГПУ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spacing w:line="240" w:lineRule="auto"/>
        <w:rPr>
          <w:highlight w:val="none"/>
        </w:rPr>
      </w:pPr>
      <w:r>
        <w:rPr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9915" cy="401109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93487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669913" cy="4011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46.45pt;height:315.8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ind w:left="4819"/>
        <w:spacing w:line="24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hanging="142"/>
        <w:spacing w:line="24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line="24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4819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2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Приложение № 3 к Приказу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от 27.02.2026г. № 22-ГПУ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9915" cy="401109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7628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669913" cy="4011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46.45pt;height:315.83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2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3 к Приказу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от 27.02.2026г. № 22-ГПУ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9915" cy="4011092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33796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669913" cy="4011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6.45pt;height:315.83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709" w:right="1276" w:bottom="851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Helvetica">
    <w:panose1 w:val="020B0604020202020204"/>
  </w:font>
  <w:font w:name="SimSun">
    <w:panose1 w:val="02000506000000020000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Times New Roman CYR">
    <w:panose1 w:val="02020603050405020304"/>
  </w:font>
  <w:font w:name="Tahoma">
    <w:panose1 w:val="020B0604030504040204"/>
  </w:font>
  <w:font w:name="Times New Roman">
    <w:panose1 w:val="02020603050405020304"/>
  </w:font>
  <w:font w:name="Microsoft YaHei">
    <w:panose1 w:val="020B0503020203020204"/>
  </w:font>
  <w:font w:name="Wingdings">
    <w:panose1 w:val="05010000000000000000"/>
  </w:font>
  <w:font w:name="Lucida Sans">
    <w:panose1 w:val="020B06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  <w:jc w:val="center"/>
    </w:pPr>
    <w:fldSimple w:instr="PAGE \* MERGEFORMAT">
      <w:r>
        <w:t xml:space="preserve">1</w:t>
      </w:r>
    </w:fldSimple>
    <w:r/>
    <w:r/>
  </w:p>
  <w:p>
    <w:pPr>
      <w:pStyle w:val="78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42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8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6">
    <w:multiLevelType w:val="hybridMultilevel"/>
    <w:lvl w:ilvl="0">
      <w:start w:val="1"/>
      <w:numFmt w:val="decimal"/>
      <w:pStyle w:val="754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755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756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757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pStyle w:val="758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761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12" w:hanging="286"/>
      </w:pPr>
      <w:rPr>
        <w:rFonts w:hint="default" w:ascii="Helvetica" w:hAnsi="Helvetica" w:eastAsia="Helvetica"/>
        <w:sz w:val="28"/>
        <w:szCs w:val="28"/>
      </w:rPr>
    </w:lvl>
    <w:lvl w:ilvl="1">
      <w:start w:val="1"/>
      <w:numFmt w:val="bullet"/>
      <w:isLgl w:val="false"/>
      <w:suff w:val="tab"/>
      <w:lvlText w:val="•"/>
      <w:lvlJc w:val="left"/>
      <w:pPr>
        <w:ind w:left="1455" w:hanging="286"/>
      </w:pPr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434" w:hanging="286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413" w:hanging="286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392" w:hanging="286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371" w:hanging="286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50" w:hanging="286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29" w:hanging="286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08" w:hanging="286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7" w:hanging="646"/>
      </w:pPr>
      <w:rPr>
        <w:rFonts w:hint="default" w:ascii="Times New Roman" w:hAnsi="Times New Roman" w:eastAsia="Times New Roman"/>
        <w:spacing w:val="1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1455" w:hanging="646"/>
      </w:pPr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434" w:hanging="646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413" w:hanging="646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392" w:hanging="646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371" w:hanging="646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50" w:hanging="646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29" w:hanging="646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08" w:hanging="646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08" w:hanging="140"/>
      </w:pPr>
      <w:rPr>
        <w:rFonts w:hint="default" w:ascii="Times New Roman" w:hAnsi="Times New Roman" w:eastAsia="Times New Roman"/>
        <w:b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822" w:hanging="140"/>
      </w:pPr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1638" w:hanging="140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455" w:hanging="140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271" w:hanging="140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088" w:hanging="140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4904" w:hanging="140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20" w:hanging="140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537" w:hanging="14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42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92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364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436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508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80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652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724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7" w:hanging="646"/>
      </w:pPr>
      <w:rPr>
        <w:rFonts w:hint="default" w:ascii="Times New Roman" w:hAnsi="Times New Roman" w:eastAsia="Times New Roman" w:cs="Times New Roman"/>
        <w:spacing w:val="1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1455" w:hanging="646"/>
      </w:pPr>
    </w:lvl>
    <w:lvl w:ilvl="2">
      <w:start w:val="1"/>
      <w:numFmt w:val="bullet"/>
      <w:isLgl w:val="false"/>
      <w:suff w:val="tab"/>
      <w:lvlText w:val="•"/>
      <w:lvlJc w:val="left"/>
      <w:pPr>
        <w:ind w:left="2434" w:hanging="646"/>
      </w:pPr>
    </w:lvl>
    <w:lvl w:ilvl="3">
      <w:start w:val="1"/>
      <w:numFmt w:val="bullet"/>
      <w:isLgl w:val="false"/>
      <w:suff w:val="tab"/>
      <w:lvlText w:val="•"/>
      <w:lvlJc w:val="left"/>
      <w:pPr>
        <w:ind w:left="3413" w:hanging="646"/>
      </w:pPr>
    </w:lvl>
    <w:lvl w:ilvl="4">
      <w:start w:val="1"/>
      <w:numFmt w:val="bullet"/>
      <w:isLgl w:val="false"/>
      <w:suff w:val="tab"/>
      <w:lvlText w:val="•"/>
      <w:lvlJc w:val="left"/>
      <w:pPr>
        <w:ind w:left="4392" w:hanging="646"/>
      </w:pPr>
    </w:lvl>
    <w:lvl w:ilvl="5">
      <w:start w:val="1"/>
      <w:numFmt w:val="bullet"/>
      <w:isLgl w:val="false"/>
      <w:suff w:val="tab"/>
      <w:lvlText w:val="•"/>
      <w:lvlJc w:val="left"/>
      <w:pPr>
        <w:ind w:left="5371" w:hanging="646"/>
      </w:pPr>
    </w:lvl>
    <w:lvl w:ilvl="6">
      <w:start w:val="1"/>
      <w:numFmt w:val="bullet"/>
      <w:isLgl w:val="false"/>
      <w:suff w:val="tab"/>
      <w:lvlText w:val="•"/>
      <w:lvlJc w:val="left"/>
      <w:pPr>
        <w:ind w:left="6350" w:hanging="646"/>
      </w:pPr>
    </w:lvl>
    <w:lvl w:ilvl="7">
      <w:start w:val="1"/>
      <w:numFmt w:val="bullet"/>
      <w:isLgl w:val="false"/>
      <w:suff w:val="tab"/>
      <w:lvlText w:val="•"/>
      <w:lvlJc w:val="left"/>
      <w:pPr>
        <w:ind w:left="7329" w:hanging="646"/>
      </w:pPr>
    </w:lvl>
    <w:lvl w:ilvl="8">
      <w:start w:val="1"/>
      <w:numFmt w:val="bullet"/>
      <w:isLgl w:val="false"/>
      <w:suff w:val="tab"/>
      <w:lvlText w:val="•"/>
      <w:lvlJc w:val="left"/>
      <w:pPr>
        <w:ind w:left="8308" w:hanging="646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08" w:hanging="140"/>
      </w:pPr>
      <w:rPr>
        <w:rFonts w:hint="default" w:ascii="Times New Roman" w:hAnsi="Times New Roman" w:eastAsia="Times New Roman" w:cs="Times New Roman"/>
        <w:b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822" w:hanging="140"/>
      </w:pPr>
    </w:lvl>
    <w:lvl w:ilvl="2">
      <w:start w:val="1"/>
      <w:numFmt w:val="bullet"/>
      <w:isLgl w:val="false"/>
      <w:suff w:val="tab"/>
      <w:lvlText w:val="•"/>
      <w:lvlJc w:val="left"/>
      <w:pPr>
        <w:ind w:left="1638" w:hanging="140"/>
      </w:pPr>
    </w:lvl>
    <w:lvl w:ilvl="3">
      <w:start w:val="1"/>
      <w:numFmt w:val="bullet"/>
      <w:isLgl w:val="false"/>
      <w:suff w:val="tab"/>
      <w:lvlText w:val="•"/>
      <w:lvlJc w:val="left"/>
      <w:pPr>
        <w:ind w:left="2455" w:hanging="140"/>
      </w:pPr>
    </w:lvl>
    <w:lvl w:ilvl="4">
      <w:start w:val="1"/>
      <w:numFmt w:val="bullet"/>
      <w:isLgl w:val="false"/>
      <w:suff w:val="tab"/>
      <w:lvlText w:val="•"/>
      <w:lvlJc w:val="left"/>
      <w:pPr>
        <w:ind w:left="3271" w:hanging="140"/>
      </w:pPr>
    </w:lvl>
    <w:lvl w:ilvl="5">
      <w:start w:val="1"/>
      <w:numFmt w:val="bullet"/>
      <w:isLgl w:val="false"/>
      <w:suff w:val="tab"/>
      <w:lvlText w:val="•"/>
      <w:lvlJc w:val="left"/>
      <w:pPr>
        <w:ind w:left="4088" w:hanging="140"/>
      </w:pPr>
    </w:lvl>
    <w:lvl w:ilvl="6">
      <w:start w:val="1"/>
      <w:numFmt w:val="bullet"/>
      <w:isLgl w:val="false"/>
      <w:suff w:val="tab"/>
      <w:lvlText w:val="•"/>
      <w:lvlJc w:val="left"/>
      <w:pPr>
        <w:ind w:left="4904" w:hanging="140"/>
      </w:pPr>
    </w:lvl>
    <w:lvl w:ilvl="7">
      <w:start w:val="1"/>
      <w:numFmt w:val="bullet"/>
      <w:isLgl w:val="false"/>
      <w:suff w:val="tab"/>
      <w:lvlText w:val="•"/>
      <w:lvlJc w:val="left"/>
      <w:pPr>
        <w:ind w:left="5720" w:hanging="140"/>
      </w:pPr>
    </w:lvl>
    <w:lvl w:ilvl="8">
      <w:start w:val="1"/>
      <w:numFmt w:val="bullet"/>
      <w:isLgl w:val="false"/>
      <w:suff w:val="tab"/>
      <w:lvlText w:val="•"/>
      <w:lvlJc w:val="left"/>
      <w:pPr>
        <w:ind w:left="6537" w:hanging="1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pStyle w:val="1132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7"/>
      <w:numFmt w:val="decimal"/>
      <w:isLgl/>
      <w:suff w:val="tab"/>
      <w:lvlText w:val="%1.%2."/>
      <w:lvlJc w:val="left"/>
      <w:pPr>
        <w:ind w:left="1287" w:hanging="72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636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345" w:hanging="108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694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3403" w:hanging="144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3752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461" w:hanging="180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810" w:hanging="1800"/>
      </w:pPr>
      <w:rPr>
        <w:rFonts w:hint="default" w:cs="Times New Roman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7"/>
  </w:num>
  <w:num w:numId="5">
    <w:abstractNumId w:val="11"/>
  </w:num>
  <w:num w:numId="6">
    <w:abstractNumId w:val="5"/>
  </w:num>
  <w:num w:numId="7">
    <w:abstractNumId w:val="13"/>
  </w:num>
  <w:num w:numId="8">
    <w:abstractNumId w:val="9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7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0"/>
  </w:num>
  <w:num w:numId="24">
    <w:abstractNumId w:val="2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  <w:lvlOverride w:ilvl="0">
      <w:startOverride w:val="1"/>
    </w:lvlOverride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8">
    <w:name w:val="Heading 1 Char"/>
    <w:basedOn w:val="763"/>
    <w:link w:val="754"/>
    <w:uiPriority w:val="9"/>
    <w:rPr>
      <w:rFonts w:ascii="Arial" w:hAnsi="Arial" w:eastAsia="Arial" w:cs="Arial"/>
      <w:sz w:val="40"/>
      <w:szCs w:val="40"/>
    </w:rPr>
  </w:style>
  <w:style w:type="character" w:styleId="739">
    <w:name w:val="Heading 2 Char"/>
    <w:basedOn w:val="763"/>
    <w:link w:val="755"/>
    <w:uiPriority w:val="9"/>
    <w:rPr>
      <w:rFonts w:ascii="Arial" w:hAnsi="Arial" w:eastAsia="Arial" w:cs="Arial"/>
      <w:sz w:val="34"/>
    </w:rPr>
  </w:style>
  <w:style w:type="character" w:styleId="740">
    <w:name w:val="Heading 3 Char"/>
    <w:basedOn w:val="763"/>
    <w:link w:val="756"/>
    <w:uiPriority w:val="9"/>
    <w:rPr>
      <w:rFonts w:ascii="Arial" w:hAnsi="Arial" w:eastAsia="Arial" w:cs="Arial"/>
      <w:sz w:val="30"/>
      <w:szCs w:val="30"/>
    </w:rPr>
  </w:style>
  <w:style w:type="character" w:styleId="741">
    <w:name w:val="Heading 4 Char"/>
    <w:basedOn w:val="763"/>
    <w:link w:val="757"/>
    <w:uiPriority w:val="9"/>
    <w:rPr>
      <w:rFonts w:ascii="Arial" w:hAnsi="Arial" w:eastAsia="Arial" w:cs="Arial"/>
      <w:b/>
      <w:bCs/>
      <w:sz w:val="26"/>
      <w:szCs w:val="26"/>
    </w:rPr>
  </w:style>
  <w:style w:type="character" w:styleId="742">
    <w:name w:val="Heading 5 Char"/>
    <w:basedOn w:val="763"/>
    <w:link w:val="758"/>
    <w:uiPriority w:val="9"/>
    <w:rPr>
      <w:rFonts w:ascii="Arial" w:hAnsi="Arial" w:eastAsia="Arial" w:cs="Arial"/>
      <w:b/>
      <w:bCs/>
      <w:sz w:val="24"/>
      <w:szCs w:val="24"/>
    </w:rPr>
  </w:style>
  <w:style w:type="character" w:styleId="743">
    <w:name w:val="Heading 6 Char"/>
    <w:basedOn w:val="763"/>
    <w:link w:val="759"/>
    <w:uiPriority w:val="9"/>
    <w:rPr>
      <w:rFonts w:ascii="Arial" w:hAnsi="Arial" w:eastAsia="Arial" w:cs="Arial"/>
      <w:b/>
      <w:bCs/>
      <w:sz w:val="22"/>
      <w:szCs w:val="22"/>
    </w:rPr>
  </w:style>
  <w:style w:type="character" w:styleId="744">
    <w:name w:val="Heading 7 Char"/>
    <w:basedOn w:val="763"/>
    <w:link w:val="7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>
    <w:name w:val="Heading 8 Char"/>
    <w:basedOn w:val="763"/>
    <w:link w:val="761"/>
    <w:uiPriority w:val="9"/>
    <w:rPr>
      <w:rFonts w:ascii="Arial" w:hAnsi="Arial" w:eastAsia="Arial" w:cs="Arial"/>
      <w:i/>
      <w:iCs/>
      <w:sz w:val="22"/>
      <w:szCs w:val="22"/>
    </w:rPr>
  </w:style>
  <w:style w:type="character" w:styleId="746">
    <w:name w:val="Heading 9 Char"/>
    <w:basedOn w:val="763"/>
    <w:link w:val="762"/>
    <w:uiPriority w:val="9"/>
    <w:rPr>
      <w:rFonts w:ascii="Arial" w:hAnsi="Arial" w:eastAsia="Arial" w:cs="Arial"/>
      <w:i/>
      <w:iCs/>
      <w:sz w:val="21"/>
      <w:szCs w:val="21"/>
    </w:rPr>
  </w:style>
  <w:style w:type="character" w:styleId="747">
    <w:name w:val="Title Char"/>
    <w:basedOn w:val="763"/>
    <w:link w:val="777"/>
    <w:uiPriority w:val="10"/>
    <w:rPr>
      <w:sz w:val="48"/>
      <w:szCs w:val="48"/>
    </w:rPr>
  </w:style>
  <w:style w:type="character" w:styleId="748">
    <w:name w:val="Subtitle Char"/>
    <w:basedOn w:val="763"/>
    <w:link w:val="779"/>
    <w:uiPriority w:val="11"/>
    <w:rPr>
      <w:sz w:val="24"/>
      <w:szCs w:val="24"/>
    </w:rPr>
  </w:style>
  <w:style w:type="character" w:styleId="749">
    <w:name w:val="Quote Char"/>
    <w:link w:val="781"/>
    <w:uiPriority w:val="29"/>
    <w:rPr>
      <w:i/>
    </w:rPr>
  </w:style>
  <w:style w:type="character" w:styleId="750">
    <w:name w:val="Intense Quote Char"/>
    <w:link w:val="783"/>
    <w:uiPriority w:val="30"/>
    <w:rPr>
      <w:i/>
    </w:rPr>
  </w:style>
  <w:style w:type="character" w:styleId="751">
    <w:name w:val="Footnote Text Char"/>
    <w:link w:val="918"/>
    <w:uiPriority w:val="99"/>
    <w:rPr>
      <w:sz w:val="18"/>
    </w:rPr>
  </w:style>
  <w:style w:type="character" w:styleId="752">
    <w:name w:val="Endnote Text Char"/>
    <w:link w:val="921"/>
    <w:uiPriority w:val="99"/>
    <w:rPr>
      <w:sz w:val="20"/>
    </w:rPr>
  </w:style>
  <w:style w:type="paragraph" w:styleId="753" w:default="1">
    <w:name w:val="Normal"/>
    <w:qFormat/>
    <w:rPr>
      <w:lang w:eastAsia="ar-SA"/>
    </w:rPr>
  </w:style>
  <w:style w:type="paragraph" w:styleId="754">
    <w:name w:val="Heading 1"/>
    <w:basedOn w:val="753"/>
    <w:next w:val="753"/>
    <w:link w:val="766"/>
    <w:qFormat/>
    <w:pPr>
      <w:numPr>
        <w:ilvl w:val="0"/>
        <w:numId w:val="1"/>
      </w:numPr>
      <w:jc w:val="center"/>
      <w:keepNext/>
      <w:outlineLvl w:val="0"/>
    </w:pPr>
    <w:rPr>
      <w:b/>
      <w:sz w:val="22"/>
    </w:rPr>
  </w:style>
  <w:style w:type="paragraph" w:styleId="755">
    <w:name w:val="Heading 2"/>
    <w:basedOn w:val="753"/>
    <w:next w:val="753"/>
    <w:link w:val="767"/>
    <w:qFormat/>
    <w:pPr>
      <w:numPr>
        <w:ilvl w:val="1"/>
        <w:numId w:val="1"/>
      </w:numPr>
      <w:jc w:val="center"/>
      <w:keepNext/>
      <w:outlineLvl w:val="1"/>
    </w:pPr>
    <w:rPr>
      <w:sz w:val="24"/>
    </w:rPr>
  </w:style>
  <w:style w:type="paragraph" w:styleId="756">
    <w:name w:val="Heading 3"/>
    <w:basedOn w:val="753"/>
    <w:next w:val="753"/>
    <w:link w:val="768"/>
    <w:qFormat/>
    <w:pPr>
      <w:numPr>
        <w:ilvl w:val="2"/>
        <w:numId w:val="1"/>
      </w:numPr>
      <w:keepNext/>
      <w:outlineLvl w:val="2"/>
    </w:pPr>
    <w:rPr>
      <w:sz w:val="24"/>
    </w:rPr>
  </w:style>
  <w:style w:type="paragraph" w:styleId="757">
    <w:name w:val="Heading 4"/>
    <w:basedOn w:val="753"/>
    <w:next w:val="753"/>
    <w:link w:val="769"/>
    <w:qFormat/>
    <w:pPr>
      <w:numPr>
        <w:ilvl w:val="3"/>
        <w:numId w:val="1"/>
      </w:numPr>
      <w:ind w:left="0" w:firstLine="851"/>
      <w:keepNext/>
      <w:outlineLvl w:val="3"/>
    </w:pPr>
    <w:rPr>
      <w:sz w:val="28"/>
    </w:rPr>
  </w:style>
  <w:style w:type="paragraph" w:styleId="758">
    <w:name w:val="Heading 5"/>
    <w:basedOn w:val="753"/>
    <w:next w:val="753"/>
    <w:link w:val="770"/>
    <w:qFormat/>
    <w:pPr>
      <w:numPr>
        <w:ilvl w:val="4"/>
        <w:numId w:val="1"/>
      </w:numPr>
      <w:keepNext/>
      <w:outlineLvl w:val="4"/>
    </w:pPr>
    <w:rPr>
      <w:sz w:val="28"/>
    </w:rPr>
  </w:style>
  <w:style w:type="paragraph" w:styleId="759">
    <w:name w:val="Heading 6"/>
    <w:basedOn w:val="753"/>
    <w:next w:val="753"/>
    <w:link w:val="7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753"/>
    <w:next w:val="753"/>
    <w:link w:val="7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1">
    <w:name w:val="Heading 8"/>
    <w:basedOn w:val="753"/>
    <w:next w:val="753"/>
    <w:link w:val="773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762">
    <w:name w:val="Heading 9"/>
    <w:basedOn w:val="753"/>
    <w:next w:val="753"/>
    <w:link w:val="7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 w:default="1">
    <w:name w:val="Default Paragraph Font"/>
    <w:uiPriority w:val="1"/>
    <w:semiHidden/>
    <w:unhideWhenUsed/>
  </w:style>
  <w:style w:type="table" w:styleId="7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5" w:default="1">
    <w:name w:val="No List"/>
    <w:uiPriority w:val="99"/>
    <w:semiHidden/>
    <w:unhideWhenUsed/>
  </w:style>
  <w:style w:type="character" w:styleId="766" w:customStyle="1">
    <w:name w:val="Заголовок 1 Знак"/>
    <w:link w:val="754"/>
    <w:uiPriority w:val="9"/>
    <w:rPr>
      <w:rFonts w:ascii="Arial" w:hAnsi="Arial" w:eastAsia="Arial" w:cs="Arial"/>
      <w:sz w:val="40"/>
      <w:szCs w:val="40"/>
    </w:rPr>
  </w:style>
  <w:style w:type="character" w:styleId="767" w:customStyle="1">
    <w:name w:val="Заголовок 2 Знак"/>
    <w:link w:val="755"/>
    <w:uiPriority w:val="9"/>
    <w:rPr>
      <w:rFonts w:ascii="Arial" w:hAnsi="Arial" w:eastAsia="Arial" w:cs="Arial"/>
      <w:sz w:val="34"/>
    </w:rPr>
  </w:style>
  <w:style w:type="character" w:styleId="768" w:customStyle="1">
    <w:name w:val="Заголовок 3 Знак"/>
    <w:link w:val="756"/>
    <w:uiPriority w:val="9"/>
    <w:rPr>
      <w:rFonts w:ascii="Arial" w:hAnsi="Arial" w:eastAsia="Arial" w:cs="Arial"/>
      <w:sz w:val="30"/>
      <w:szCs w:val="30"/>
    </w:rPr>
  </w:style>
  <w:style w:type="character" w:styleId="769" w:customStyle="1">
    <w:name w:val="Заголовок 4 Знак"/>
    <w:link w:val="757"/>
    <w:uiPriority w:val="9"/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Заголовок 5 Знак"/>
    <w:link w:val="758"/>
    <w:uiPriority w:val="9"/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Заголовок 6 Знак"/>
    <w:link w:val="759"/>
    <w:uiPriority w:val="9"/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Заголовок 7 Знак"/>
    <w:link w:val="7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Заголовок 8 Знак1"/>
    <w:link w:val="761"/>
    <w:uiPriority w:val="9"/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Заголовок 9 Знак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75">
    <w:name w:val="List Paragraph"/>
    <w:basedOn w:val="753"/>
    <w:qFormat/>
    <w:pPr>
      <w:ind w:left="720"/>
    </w:pPr>
  </w:style>
  <w:style w:type="paragraph" w:styleId="776">
    <w:name w:val="No Spacing"/>
    <w:uiPriority w:val="1"/>
    <w:qFormat/>
    <w:rPr>
      <w:lang w:eastAsia="zh-CN"/>
    </w:rPr>
  </w:style>
  <w:style w:type="paragraph" w:styleId="777">
    <w:name w:val="Title"/>
    <w:basedOn w:val="753"/>
    <w:next w:val="1105"/>
    <w:link w:val="778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character" w:styleId="778" w:customStyle="1">
    <w:name w:val="Заголовок Знак"/>
    <w:link w:val="777"/>
    <w:uiPriority w:val="10"/>
    <w:rPr>
      <w:sz w:val="48"/>
      <w:szCs w:val="48"/>
    </w:rPr>
  </w:style>
  <w:style w:type="paragraph" w:styleId="779">
    <w:name w:val="Subtitle"/>
    <w:basedOn w:val="753"/>
    <w:next w:val="753"/>
    <w:link w:val="780"/>
    <w:uiPriority w:val="11"/>
    <w:qFormat/>
    <w:pPr>
      <w:spacing w:before="200" w:after="200"/>
    </w:pPr>
    <w:rPr>
      <w:sz w:val="24"/>
      <w:szCs w:val="24"/>
    </w:rPr>
  </w:style>
  <w:style w:type="character" w:styleId="780" w:customStyle="1">
    <w:name w:val="Подзаголовок Знак"/>
    <w:link w:val="779"/>
    <w:uiPriority w:val="11"/>
    <w:rPr>
      <w:sz w:val="24"/>
      <w:szCs w:val="24"/>
    </w:rPr>
  </w:style>
  <w:style w:type="paragraph" w:styleId="781">
    <w:name w:val="Quote"/>
    <w:basedOn w:val="753"/>
    <w:next w:val="753"/>
    <w:link w:val="782"/>
    <w:uiPriority w:val="29"/>
    <w:qFormat/>
    <w:pPr>
      <w:ind w:left="720" w:right="720"/>
    </w:pPr>
    <w:rPr>
      <w:i/>
    </w:rPr>
  </w:style>
  <w:style w:type="character" w:styleId="782" w:customStyle="1">
    <w:name w:val="Цитата 2 Знак"/>
    <w:link w:val="781"/>
    <w:uiPriority w:val="29"/>
    <w:rPr>
      <w:i/>
    </w:rPr>
  </w:style>
  <w:style w:type="paragraph" w:styleId="783">
    <w:name w:val="Intense Quote"/>
    <w:basedOn w:val="753"/>
    <w:next w:val="753"/>
    <w:link w:val="7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4" w:customStyle="1">
    <w:name w:val="Выделенная цитата Знак"/>
    <w:link w:val="783"/>
    <w:uiPriority w:val="30"/>
    <w:rPr>
      <w:i/>
    </w:rPr>
  </w:style>
  <w:style w:type="paragraph" w:styleId="785">
    <w:name w:val="Header"/>
    <w:basedOn w:val="753"/>
    <w:link w:val="112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6" w:customStyle="1">
    <w:name w:val="Header Char"/>
    <w:uiPriority w:val="99"/>
  </w:style>
  <w:style w:type="paragraph" w:styleId="787">
    <w:name w:val="Footer"/>
    <w:basedOn w:val="753"/>
    <w:link w:val="112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8" w:customStyle="1">
    <w:name w:val="Footer Char"/>
    <w:uiPriority w:val="99"/>
  </w:style>
  <w:style w:type="paragraph" w:styleId="789">
    <w:name w:val="Caption"/>
    <w:basedOn w:val="753"/>
    <w:next w:val="75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90" w:customStyle="1">
    <w:name w:val="Caption Char"/>
    <w:uiPriority w:val="99"/>
  </w:style>
  <w:style w:type="table" w:styleId="791">
    <w:name w:val="Table Grid"/>
    <w:basedOn w:val="764"/>
    <w:uiPriority w:val="59"/>
    <w:tblPr/>
  </w:style>
  <w:style w:type="table" w:styleId="792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5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7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33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17">
    <w:name w:val="Hyperlink"/>
    <w:rPr>
      <w:color w:val="0000ff"/>
      <w:u w:val="single"/>
    </w:rPr>
  </w:style>
  <w:style w:type="paragraph" w:styleId="918">
    <w:name w:val="footnote text"/>
    <w:basedOn w:val="753"/>
    <w:link w:val="919"/>
    <w:uiPriority w:val="99"/>
    <w:semiHidden/>
    <w:unhideWhenUsed/>
    <w:pPr>
      <w:spacing w:after="40"/>
    </w:pPr>
    <w:rPr>
      <w:sz w:val="18"/>
    </w:rPr>
  </w:style>
  <w:style w:type="character" w:styleId="919" w:customStyle="1">
    <w:name w:val="Текст сноски Знак"/>
    <w:link w:val="918"/>
    <w:uiPriority w:val="99"/>
    <w:rPr>
      <w:sz w:val="18"/>
    </w:rPr>
  </w:style>
  <w:style w:type="character" w:styleId="920">
    <w:name w:val="footnote reference"/>
    <w:uiPriority w:val="99"/>
    <w:unhideWhenUsed/>
    <w:rPr>
      <w:vertAlign w:val="superscript"/>
    </w:rPr>
  </w:style>
  <w:style w:type="paragraph" w:styleId="921">
    <w:name w:val="endnote text"/>
    <w:basedOn w:val="753"/>
    <w:link w:val="922"/>
    <w:uiPriority w:val="99"/>
    <w:semiHidden/>
    <w:unhideWhenUsed/>
  </w:style>
  <w:style w:type="character" w:styleId="922" w:customStyle="1">
    <w:name w:val="Текст концевой сноски Знак"/>
    <w:link w:val="921"/>
    <w:uiPriority w:val="99"/>
    <w:rPr>
      <w:sz w:val="20"/>
    </w:rPr>
  </w:style>
  <w:style w:type="character" w:styleId="923">
    <w:name w:val="endnote reference"/>
    <w:uiPriority w:val="99"/>
    <w:semiHidden/>
    <w:unhideWhenUsed/>
    <w:rPr>
      <w:vertAlign w:val="superscript"/>
    </w:rPr>
  </w:style>
  <w:style w:type="paragraph" w:styleId="924">
    <w:name w:val="toc 1"/>
    <w:basedOn w:val="753"/>
    <w:next w:val="753"/>
    <w:uiPriority w:val="39"/>
    <w:unhideWhenUsed/>
    <w:pPr>
      <w:spacing w:after="57"/>
    </w:pPr>
  </w:style>
  <w:style w:type="paragraph" w:styleId="925">
    <w:name w:val="toc 2"/>
    <w:basedOn w:val="753"/>
    <w:next w:val="753"/>
    <w:uiPriority w:val="39"/>
    <w:unhideWhenUsed/>
    <w:pPr>
      <w:ind w:left="283"/>
      <w:spacing w:after="57"/>
    </w:pPr>
  </w:style>
  <w:style w:type="paragraph" w:styleId="926">
    <w:name w:val="toc 3"/>
    <w:basedOn w:val="753"/>
    <w:next w:val="753"/>
    <w:uiPriority w:val="39"/>
    <w:unhideWhenUsed/>
    <w:pPr>
      <w:ind w:left="567"/>
      <w:spacing w:after="57"/>
    </w:pPr>
  </w:style>
  <w:style w:type="paragraph" w:styleId="927">
    <w:name w:val="toc 4"/>
    <w:basedOn w:val="753"/>
    <w:next w:val="753"/>
    <w:uiPriority w:val="39"/>
    <w:unhideWhenUsed/>
    <w:pPr>
      <w:ind w:left="850"/>
      <w:spacing w:after="57"/>
    </w:pPr>
  </w:style>
  <w:style w:type="paragraph" w:styleId="928">
    <w:name w:val="toc 5"/>
    <w:basedOn w:val="753"/>
    <w:next w:val="753"/>
    <w:uiPriority w:val="39"/>
    <w:unhideWhenUsed/>
    <w:pPr>
      <w:ind w:left="1134"/>
      <w:spacing w:after="57"/>
    </w:pPr>
  </w:style>
  <w:style w:type="paragraph" w:styleId="929">
    <w:name w:val="toc 6"/>
    <w:basedOn w:val="753"/>
    <w:next w:val="753"/>
    <w:uiPriority w:val="39"/>
    <w:unhideWhenUsed/>
    <w:pPr>
      <w:ind w:left="1417"/>
      <w:spacing w:after="57"/>
    </w:pPr>
  </w:style>
  <w:style w:type="paragraph" w:styleId="930">
    <w:name w:val="toc 7"/>
    <w:basedOn w:val="753"/>
    <w:next w:val="753"/>
    <w:uiPriority w:val="39"/>
    <w:unhideWhenUsed/>
    <w:pPr>
      <w:ind w:left="1701"/>
      <w:spacing w:after="57"/>
    </w:pPr>
  </w:style>
  <w:style w:type="paragraph" w:styleId="931">
    <w:name w:val="toc 8"/>
    <w:basedOn w:val="753"/>
    <w:next w:val="753"/>
    <w:uiPriority w:val="39"/>
    <w:unhideWhenUsed/>
    <w:pPr>
      <w:ind w:left="1984"/>
      <w:spacing w:after="57"/>
    </w:pPr>
  </w:style>
  <w:style w:type="paragraph" w:styleId="932">
    <w:name w:val="toc 9"/>
    <w:basedOn w:val="753"/>
    <w:next w:val="753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  <w:rPr>
      <w:lang w:eastAsia="zh-CN"/>
    </w:rPr>
  </w:style>
  <w:style w:type="paragraph" w:styleId="934">
    <w:name w:val="table of figures"/>
    <w:basedOn w:val="753"/>
    <w:next w:val="753"/>
    <w:uiPriority w:val="99"/>
    <w:unhideWhenUsed/>
  </w:style>
  <w:style w:type="character" w:styleId="935" w:customStyle="1">
    <w:name w:val="WW8Num1z0"/>
  </w:style>
  <w:style w:type="character" w:styleId="936" w:customStyle="1">
    <w:name w:val="WW8Num1z1"/>
  </w:style>
  <w:style w:type="character" w:styleId="937" w:customStyle="1">
    <w:name w:val="WW8Num1z2"/>
  </w:style>
  <w:style w:type="character" w:styleId="938" w:customStyle="1">
    <w:name w:val="WW8Num1z3"/>
  </w:style>
  <w:style w:type="character" w:styleId="939" w:customStyle="1">
    <w:name w:val="WW8Num1z4"/>
  </w:style>
  <w:style w:type="character" w:styleId="940" w:customStyle="1">
    <w:name w:val="WW8Num1z5"/>
  </w:style>
  <w:style w:type="character" w:styleId="941" w:customStyle="1">
    <w:name w:val="WW8Num1z6"/>
  </w:style>
  <w:style w:type="character" w:styleId="942" w:customStyle="1">
    <w:name w:val="WW8Num1z7"/>
  </w:style>
  <w:style w:type="character" w:styleId="943" w:customStyle="1">
    <w:name w:val="WW8Num1z8"/>
  </w:style>
  <w:style w:type="character" w:styleId="944" w:customStyle="1">
    <w:name w:val="WW8Num2z0"/>
  </w:style>
  <w:style w:type="character" w:styleId="945" w:customStyle="1">
    <w:name w:val="WW8Num2z1"/>
    <w:rPr>
      <w:sz w:val="28"/>
      <w:szCs w:val="28"/>
    </w:rPr>
  </w:style>
  <w:style w:type="character" w:styleId="946" w:customStyle="1">
    <w:name w:val="WW8Num2z2"/>
  </w:style>
  <w:style w:type="character" w:styleId="947" w:customStyle="1">
    <w:name w:val="WW8Num2z3"/>
  </w:style>
  <w:style w:type="character" w:styleId="948" w:customStyle="1">
    <w:name w:val="WW8Num2z4"/>
  </w:style>
  <w:style w:type="character" w:styleId="949" w:customStyle="1">
    <w:name w:val="WW8Num2z5"/>
  </w:style>
  <w:style w:type="character" w:styleId="950" w:customStyle="1">
    <w:name w:val="WW8Num2z6"/>
  </w:style>
  <w:style w:type="character" w:styleId="951" w:customStyle="1">
    <w:name w:val="WW8Num2z7"/>
  </w:style>
  <w:style w:type="character" w:styleId="952" w:customStyle="1">
    <w:name w:val="WW8Num2z8"/>
  </w:style>
  <w:style w:type="character" w:styleId="953" w:customStyle="1">
    <w:name w:val="WW8Num3z0"/>
  </w:style>
  <w:style w:type="character" w:styleId="954" w:customStyle="1">
    <w:name w:val="WW8Num3z1"/>
  </w:style>
  <w:style w:type="character" w:styleId="955" w:customStyle="1">
    <w:name w:val="WW8Num3z2"/>
  </w:style>
  <w:style w:type="character" w:styleId="956" w:customStyle="1">
    <w:name w:val="WW8Num3z3"/>
  </w:style>
  <w:style w:type="character" w:styleId="957" w:customStyle="1">
    <w:name w:val="WW8Num3z4"/>
  </w:style>
  <w:style w:type="character" w:styleId="958" w:customStyle="1">
    <w:name w:val="WW8Num3z5"/>
  </w:style>
  <w:style w:type="character" w:styleId="959" w:customStyle="1">
    <w:name w:val="WW8Num3z6"/>
  </w:style>
  <w:style w:type="character" w:styleId="960" w:customStyle="1">
    <w:name w:val="WW8Num3z7"/>
  </w:style>
  <w:style w:type="character" w:styleId="961" w:customStyle="1">
    <w:name w:val="WW8Num3z8"/>
  </w:style>
  <w:style w:type="character" w:styleId="962" w:customStyle="1">
    <w:name w:val="WW8Num4z0"/>
  </w:style>
  <w:style w:type="character" w:styleId="963" w:customStyle="1">
    <w:name w:val="WW8Num5z0"/>
  </w:style>
  <w:style w:type="character" w:styleId="964" w:customStyle="1">
    <w:name w:val="WW8Num5z1"/>
  </w:style>
  <w:style w:type="character" w:styleId="965" w:customStyle="1">
    <w:name w:val="WW8Num5z2"/>
  </w:style>
  <w:style w:type="character" w:styleId="966" w:customStyle="1">
    <w:name w:val="WW8Num5z3"/>
  </w:style>
  <w:style w:type="character" w:styleId="967" w:customStyle="1">
    <w:name w:val="WW8Num5z4"/>
  </w:style>
  <w:style w:type="character" w:styleId="968" w:customStyle="1">
    <w:name w:val="WW8Num5z5"/>
  </w:style>
  <w:style w:type="character" w:styleId="969" w:customStyle="1">
    <w:name w:val="WW8Num5z6"/>
  </w:style>
  <w:style w:type="character" w:styleId="970" w:customStyle="1">
    <w:name w:val="WW8Num5z7"/>
  </w:style>
  <w:style w:type="character" w:styleId="971" w:customStyle="1">
    <w:name w:val="WW8Num5z8"/>
  </w:style>
  <w:style w:type="character" w:styleId="972" w:customStyle="1">
    <w:name w:val="WW8Num6z0"/>
  </w:style>
  <w:style w:type="character" w:styleId="973" w:customStyle="1">
    <w:name w:val="WW8Num6z1"/>
  </w:style>
  <w:style w:type="character" w:styleId="974" w:customStyle="1">
    <w:name w:val="WW8Num6z2"/>
  </w:style>
  <w:style w:type="character" w:styleId="975" w:customStyle="1">
    <w:name w:val="WW8Num6z3"/>
  </w:style>
  <w:style w:type="character" w:styleId="976" w:customStyle="1">
    <w:name w:val="WW8Num6z4"/>
  </w:style>
  <w:style w:type="character" w:styleId="977" w:customStyle="1">
    <w:name w:val="WW8Num6z5"/>
  </w:style>
  <w:style w:type="character" w:styleId="978" w:customStyle="1">
    <w:name w:val="WW8Num6z6"/>
  </w:style>
  <w:style w:type="character" w:styleId="979" w:customStyle="1">
    <w:name w:val="WW8Num6z7"/>
  </w:style>
  <w:style w:type="character" w:styleId="980" w:customStyle="1">
    <w:name w:val="WW8Num6z8"/>
  </w:style>
  <w:style w:type="character" w:styleId="981" w:customStyle="1">
    <w:name w:val="WW8Num7z0"/>
  </w:style>
  <w:style w:type="character" w:styleId="982" w:customStyle="1">
    <w:name w:val="WW8Num7z1"/>
  </w:style>
  <w:style w:type="character" w:styleId="983" w:customStyle="1">
    <w:name w:val="WW8Num7z2"/>
  </w:style>
  <w:style w:type="character" w:styleId="984" w:customStyle="1">
    <w:name w:val="WW8Num7z3"/>
  </w:style>
  <w:style w:type="character" w:styleId="985" w:customStyle="1">
    <w:name w:val="WW8Num7z4"/>
  </w:style>
  <w:style w:type="character" w:styleId="986" w:customStyle="1">
    <w:name w:val="WW8Num7z5"/>
  </w:style>
  <w:style w:type="character" w:styleId="987" w:customStyle="1">
    <w:name w:val="WW8Num7z6"/>
  </w:style>
  <w:style w:type="character" w:styleId="988" w:customStyle="1">
    <w:name w:val="WW8Num7z7"/>
  </w:style>
  <w:style w:type="character" w:styleId="989" w:customStyle="1">
    <w:name w:val="WW8Num7z8"/>
  </w:style>
  <w:style w:type="character" w:styleId="990" w:customStyle="1">
    <w:name w:val="WW8Num8z0"/>
  </w:style>
  <w:style w:type="character" w:styleId="991" w:customStyle="1">
    <w:name w:val="WW8Num8z1"/>
  </w:style>
  <w:style w:type="character" w:styleId="992" w:customStyle="1">
    <w:name w:val="WW8Num8z2"/>
  </w:style>
  <w:style w:type="character" w:styleId="993" w:customStyle="1">
    <w:name w:val="WW8Num8z3"/>
  </w:style>
  <w:style w:type="character" w:styleId="994" w:customStyle="1">
    <w:name w:val="WW8Num8z4"/>
  </w:style>
  <w:style w:type="character" w:styleId="995" w:customStyle="1">
    <w:name w:val="WW8Num8z5"/>
  </w:style>
  <w:style w:type="character" w:styleId="996" w:customStyle="1">
    <w:name w:val="WW8Num8z6"/>
  </w:style>
  <w:style w:type="character" w:styleId="997" w:customStyle="1">
    <w:name w:val="WW8Num8z7"/>
  </w:style>
  <w:style w:type="character" w:styleId="998" w:customStyle="1">
    <w:name w:val="WW8Num8z8"/>
  </w:style>
  <w:style w:type="character" w:styleId="999" w:customStyle="1">
    <w:name w:val="WW8Num9z0"/>
  </w:style>
  <w:style w:type="character" w:styleId="1000" w:customStyle="1">
    <w:name w:val="WW8Num9z1"/>
  </w:style>
  <w:style w:type="character" w:styleId="1001" w:customStyle="1">
    <w:name w:val="WW8Num9z2"/>
  </w:style>
  <w:style w:type="character" w:styleId="1002" w:customStyle="1">
    <w:name w:val="WW8Num9z3"/>
  </w:style>
  <w:style w:type="character" w:styleId="1003" w:customStyle="1">
    <w:name w:val="WW8Num9z4"/>
  </w:style>
  <w:style w:type="character" w:styleId="1004" w:customStyle="1">
    <w:name w:val="WW8Num9z5"/>
  </w:style>
  <w:style w:type="character" w:styleId="1005" w:customStyle="1">
    <w:name w:val="WW8Num9z6"/>
  </w:style>
  <w:style w:type="character" w:styleId="1006" w:customStyle="1">
    <w:name w:val="WW8Num9z7"/>
  </w:style>
  <w:style w:type="character" w:styleId="1007" w:customStyle="1">
    <w:name w:val="WW8Num9z8"/>
  </w:style>
  <w:style w:type="character" w:styleId="1008" w:customStyle="1">
    <w:name w:val="WW8Num10z0"/>
    <w:rPr>
      <w:rFonts w:ascii="Wingdings" w:hAnsi="Wingdings" w:cs="Wingdings"/>
    </w:rPr>
  </w:style>
  <w:style w:type="character" w:styleId="1009" w:customStyle="1">
    <w:name w:val="WW8Num11z0"/>
  </w:style>
  <w:style w:type="character" w:styleId="1010" w:customStyle="1">
    <w:name w:val="WW8Num11z1"/>
  </w:style>
  <w:style w:type="character" w:styleId="1011" w:customStyle="1">
    <w:name w:val="WW8Num11z2"/>
  </w:style>
  <w:style w:type="character" w:styleId="1012" w:customStyle="1">
    <w:name w:val="WW8Num11z3"/>
  </w:style>
  <w:style w:type="character" w:styleId="1013" w:customStyle="1">
    <w:name w:val="WW8Num11z4"/>
  </w:style>
  <w:style w:type="character" w:styleId="1014" w:customStyle="1">
    <w:name w:val="WW8Num11z5"/>
  </w:style>
  <w:style w:type="character" w:styleId="1015" w:customStyle="1">
    <w:name w:val="WW8Num11z6"/>
  </w:style>
  <w:style w:type="character" w:styleId="1016" w:customStyle="1">
    <w:name w:val="WW8Num11z7"/>
  </w:style>
  <w:style w:type="character" w:styleId="1017" w:customStyle="1">
    <w:name w:val="WW8Num11z8"/>
  </w:style>
  <w:style w:type="character" w:styleId="1018" w:customStyle="1">
    <w:name w:val="WW8Num12z0"/>
  </w:style>
  <w:style w:type="character" w:styleId="1019" w:customStyle="1">
    <w:name w:val="WW8Num12z1"/>
  </w:style>
  <w:style w:type="character" w:styleId="1020" w:customStyle="1">
    <w:name w:val="WW8Num12z2"/>
  </w:style>
  <w:style w:type="character" w:styleId="1021" w:customStyle="1">
    <w:name w:val="WW8Num12z3"/>
  </w:style>
  <w:style w:type="character" w:styleId="1022" w:customStyle="1">
    <w:name w:val="WW8Num12z4"/>
  </w:style>
  <w:style w:type="character" w:styleId="1023" w:customStyle="1">
    <w:name w:val="WW8Num12z5"/>
  </w:style>
  <w:style w:type="character" w:styleId="1024" w:customStyle="1">
    <w:name w:val="WW8Num12z6"/>
  </w:style>
  <w:style w:type="character" w:styleId="1025" w:customStyle="1">
    <w:name w:val="WW8Num12z7"/>
  </w:style>
  <w:style w:type="character" w:styleId="1026" w:customStyle="1">
    <w:name w:val="WW8Num12z8"/>
  </w:style>
  <w:style w:type="character" w:styleId="1027" w:customStyle="1">
    <w:name w:val="WW8Num13z0"/>
  </w:style>
  <w:style w:type="character" w:styleId="1028" w:customStyle="1">
    <w:name w:val="WW8Num13z1"/>
  </w:style>
  <w:style w:type="character" w:styleId="1029" w:customStyle="1">
    <w:name w:val="WW8Num13z2"/>
  </w:style>
  <w:style w:type="character" w:styleId="1030" w:customStyle="1">
    <w:name w:val="WW8Num13z3"/>
  </w:style>
  <w:style w:type="character" w:styleId="1031" w:customStyle="1">
    <w:name w:val="WW8Num13z4"/>
  </w:style>
  <w:style w:type="character" w:styleId="1032" w:customStyle="1">
    <w:name w:val="WW8Num13z5"/>
  </w:style>
  <w:style w:type="character" w:styleId="1033" w:customStyle="1">
    <w:name w:val="WW8Num13z6"/>
  </w:style>
  <w:style w:type="character" w:styleId="1034" w:customStyle="1">
    <w:name w:val="WW8Num13z7"/>
  </w:style>
  <w:style w:type="character" w:styleId="1035" w:customStyle="1">
    <w:name w:val="WW8Num13z8"/>
  </w:style>
  <w:style w:type="character" w:styleId="1036" w:customStyle="1">
    <w:name w:val="WW8Num14z0"/>
  </w:style>
  <w:style w:type="character" w:styleId="1037" w:customStyle="1">
    <w:name w:val="WW8Num14z1"/>
  </w:style>
  <w:style w:type="character" w:styleId="1038" w:customStyle="1">
    <w:name w:val="WW8Num14z2"/>
  </w:style>
  <w:style w:type="character" w:styleId="1039" w:customStyle="1">
    <w:name w:val="WW8Num14z3"/>
  </w:style>
  <w:style w:type="character" w:styleId="1040" w:customStyle="1">
    <w:name w:val="WW8Num14z4"/>
  </w:style>
  <w:style w:type="character" w:styleId="1041" w:customStyle="1">
    <w:name w:val="WW8Num14z5"/>
  </w:style>
  <w:style w:type="character" w:styleId="1042" w:customStyle="1">
    <w:name w:val="WW8Num14z6"/>
  </w:style>
  <w:style w:type="character" w:styleId="1043" w:customStyle="1">
    <w:name w:val="WW8Num14z7"/>
  </w:style>
  <w:style w:type="character" w:styleId="1044" w:customStyle="1">
    <w:name w:val="WW8Num14z8"/>
  </w:style>
  <w:style w:type="character" w:styleId="1045" w:customStyle="1">
    <w:name w:val="WW8Num15z0"/>
  </w:style>
  <w:style w:type="character" w:styleId="1046" w:customStyle="1">
    <w:name w:val="WW8Num16z0"/>
  </w:style>
  <w:style w:type="character" w:styleId="1047" w:customStyle="1">
    <w:name w:val="WW8Num16z1"/>
  </w:style>
  <w:style w:type="character" w:styleId="1048" w:customStyle="1">
    <w:name w:val="WW8Num16z2"/>
  </w:style>
  <w:style w:type="character" w:styleId="1049" w:customStyle="1">
    <w:name w:val="WW8Num16z3"/>
  </w:style>
  <w:style w:type="character" w:styleId="1050" w:customStyle="1">
    <w:name w:val="WW8Num16z4"/>
  </w:style>
  <w:style w:type="character" w:styleId="1051" w:customStyle="1">
    <w:name w:val="WW8Num16z5"/>
  </w:style>
  <w:style w:type="character" w:styleId="1052" w:customStyle="1">
    <w:name w:val="WW8Num16z6"/>
  </w:style>
  <w:style w:type="character" w:styleId="1053" w:customStyle="1">
    <w:name w:val="WW8Num16z7"/>
  </w:style>
  <w:style w:type="character" w:styleId="1054" w:customStyle="1">
    <w:name w:val="WW8Num16z8"/>
  </w:style>
  <w:style w:type="character" w:styleId="1055" w:customStyle="1">
    <w:name w:val="WW8Num17z0"/>
  </w:style>
  <w:style w:type="character" w:styleId="1056" w:customStyle="1">
    <w:name w:val="WW8Num17z1"/>
  </w:style>
  <w:style w:type="character" w:styleId="1057" w:customStyle="1">
    <w:name w:val="WW8Num17z2"/>
  </w:style>
  <w:style w:type="character" w:styleId="1058" w:customStyle="1">
    <w:name w:val="WW8Num17z3"/>
  </w:style>
  <w:style w:type="character" w:styleId="1059" w:customStyle="1">
    <w:name w:val="WW8Num17z4"/>
  </w:style>
  <w:style w:type="character" w:styleId="1060" w:customStyle="1">
    <w:name w:val="WW8Num17z5"/>
  </w:style>
  <w:style w:type="character" w:styleId="1061" w:customStyle="1">
    <w:name w:val="WW8Num17z6"/>
  </w:style>
  <w:style w:type="character" w:styleId="1062" w:customStyle="1">
    <w:name w:val="WW8Num17z7"/>
  </w:style>
  <w:style w:type="character" w:styleId="1063" w:customStyle="1">
    <w:name w:val="WW8Num17z8"/>
  </w:style>
  <w:style w:type="character" w:styleId="1064" w:customStyle="1">
    <w:name w:val="WW8Num18z0"/>
  </w:style>
  <w:style w:type="character" w:styleId="1065" w:customStyle="1">
    <w:name w:val="WW8Num19z0"/>
  </w:style>
  <w:style w:type="character" w:styleId="1066" w:customStyle="1">
    <w:name w:val="WW8Num19z1"/>
    <w:rPr>
      <w:b w:val="0"/>
    </w:rPr>
  </w:style>
  <w:style w:type="character" w:styleId="1067" w:customStyle="1">
    <w:name w:val="WW8Num19z2"/>
  </w:style>
  <w:style w:type="character" w:styleId="1068" w:customStyle="1">
    <w:name w:val="WW8Num19z3"/>
  </w:style>
  <w:style w:type="character" w:styleId="1069" w:customStyle="1">
    <w:name w:val="WW8Num19z4"/>
  </w:style>
  <w:style w:type="character" w:styleId="1070" w:customStyle="1">
    <w:name w:val="WW8Num19z5"/>
  </w:style>
  <w:style w:type="character" w:styleId="1071" w:customStyle="1">
    <w:name w:val="WW8Num19z6"/>
  </w:style>
  <w:style w:type="character" w:styleId="1072" w:customStyle="1">
    <w:name w:val="WW8Num19z7"/>
  </w:style>
  <w:style w:type="character" w:styleId="1073" w:customStyle="1">
    <w:name w:val="WW8Num19z8"/>
  </w:style>
  <w:style w:type="character" w:styleId="1074" w:customStyle="1">
    <w:name w:val="WW8Num20z0"/>
  </w:style>
  <w:style w:type="character" w:styleId="1075" w:customStyle="1">
    <w:name w:val="WW8Num20z1"/>
  </w:style>
  <w:style w:type="character" w:styleId="1076" w:customStyle="1">
    <w:name w:val="WW8Num20z2"/>
  </w:style>
  <w:style w:type="character" w:styleId="1077" w:customStyle="1">
    <w:name w:val="WW8Num20z3"/>
  </w:style>
  <w:style w:type="character" w:styleId="1078" w:customStyle="1">
    <w:name w:val="WW8Num20z4"/>
  </w:style>
  <w:style w:type="character" w:styleId="1079" w:customStyle="1">
    <w:name w:val="WW8Num20z5"/>
  </w:style>
  <w:style w:type="character" w:styleId="1080" w:customStyle="1">
    <w:name w:val="WW8Num20z6"/>
  </w:style>
  <w:style w:type="character" w:styleId="1081" w:customStyle="1">
    <w:name w:val="WW8Num20z7"/>
  </w:style>
  <w:style w:type="character" w:styleId="1082" w:customStyle="1">
    <w:name w:val="WW8Num20z8"/>
  </w:style>
  <w:style w:type="character" w:styleId="1083" w:customStyle="1">
    <w:name w:val="WW8Num21z0"/>
  </w:style>
  <w:style w:type="character" w:styleId="1084" w:customStyle="1">
    <w:name w:val="WW8Num21z1"/>
  </w:style>
  <w:style w:type="character" w:styleId="1085" w:customStyle="1">
    <w:name w:val="WW8Num21z2"/>
  </w:style>
  <w:style w:type="character" w:styleId="1086" w:customStyle="1">
    <w:name w:val="WW8Num21z3"/>
  </w:style>
  <w:style w:type="character" w:styleId="1087" w:customStyle="1">
    <w:name w:val="WW8Num21z4"/>
  </w:style>
  <w:style w:type="character" w:styleId="1088" w:customStyle="1">
    <w:name w:val="WW8Num21z5"/>
  </w:style>
  <w:style w:type="character" w:styleId="1089" w:customStyle="1">
    <w:name w:val="WW8Num21z6"/>
  </w:style>
  <w:style w:type="character" w:styleId="1090" w:customStyle="1">
    <w:name w:val="WW8Num21z7"/>
  </w:style>
  <w:style w:type="character" w:styleId="1091" w:customStyle="1">
    <w:name w:val="WW8Num21z8"/>
  </w:style>
  <w:style w:type="character" w:styleId="1092" w:customStyle="1">
    <w:name w:val="WW8Num22z0"/>
  </w:style>
  <w:style w:type="character" w:styleId="1093" w:customStyle="1">
    <w:name w:val="WW8Num22z1"/>
  </w:style>
  <w:style w:type="character" w:styleId="1094" w:customStyle="1">
    <w:name w:val="WW8Num22z2"/>
  </w:style>
  <w:style w:type="character" w:styleId="1095" w:customStyle="1">
    <w:name w:val="WW8Num22z3"/>
  </w:style>
  <w:style w:type="character" w:styleId="1096" w:customStyle="1">
    <w:name w:val="WW8Num22z4"/>
  </w:style>
  <w:style w:type="character" w:styleId="1097" w:customStyle="1">
    <w:name w:val="WW8Num22z5"/>
  </w:style>
  <w:style w:type="character" w:styleId="1098" w:customStyle="1">
    <w:name w:val="WW8Num22z6"/>
  </w:style>
  <w:style w:type="character" w:styleId="1099" w:customStyle="1">
    <w:name w:val="WW8Num22z7"/>
  </w:style>
  <w:style w:type="character" w:styleId="1100" w:customStyle="1">
    <w:name w:val="WW8Num22z8"/>
  </w:style>
  <w:style w:type="character" w:styleId="1101" w:customStyle="1">
    <w:name w:val="Основной шрифт абзаца1"/>
  </w:style>
  <w:style w:type="character" w:styleId="1102" w:customStyle="1">
    <w:name w:val="Заголовок 8 Знак"/>
    <w:rPr>
      <w:rFonts w:ascii="Calibri" w:hAnsi="Calibri" w:cs="Calibri"/>
      <w:i/>
      <w:iCs/>
      <w:sz w:val="24"/>
      <w:szCs w:val="24"/>
    </w:rPr>
  </w:style>
  <w:style w:type="character" w:styleId="1103" w:customStyle="1">
    <w:name w:val="Гипертекстовая ссылка"/>
    <w:rPr>
      <w:color w:val="106bbe"/>
    </w:rPr>
  </w:style>
  <w:style w:type="character" w:styleId="1104" w:customStyle="1">
    <w:name w:val="Цветовое выделение"/>
    <w:rPr>
      <w:b/>
      <w:color w:val="26282f"/>
    </w:rPr>
  </w:style>
  <w:style w:type="paragraph" w:styleId="1105">
    <w:name w:val="Body Text"/>
    <w:basedOn w:val="753"/>
    <w:pPr>
      <w:jc w:val="both"/>
    </w:pPr>
    <w:rPr>
      <w:sz w:val="24"/>
    </w:rPr>
  </w:style>
  <w:style w:type="paragraph" w:styleId="1106">
    <w:name w:val="List"/>
    <w:basedOn w:val="1105"/>
    <w:rPr>
      <w:rFonts w:cs="Lucida Sans"/>
    </w:rPr>
  </w:style>
  <w:style w:type="paragraph" w:styleId="1107" w:customStyle="1">
    <w:name w:val="Название1"/>
    <w:basedOn w:val="753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1108" w:customStyle="1">
    <w:name w:val="Указатель1"/>
    <w:basedOn w:val="753"/>
    <w:pPr>
      <w:suppressLineNumbers/>
    </w:pPr>
    <w:rPr>
      <w:rFonts w:cs="Lucida Sans"/>
    </w:rPr>
  </w:style>
  <w:style w:type="paragraph" w:styleId="1109" w:customStyle="1">
    <w:name w:val="Основной текст с отступом 21"/>
    <w:basedOn w:val="753"/>
    <w:pPr>
      <w:ind w:firstLine="851"/>
      <w:jc w:val="both"/>
    </w:pPr>
    <w:rPr>
      <w:sz w:val="28"/>
    </w:rPr>
  </w:style>
  <w:style w:type="paragraph" w:styleId="1110">
    <w:name w:val="Body Text Indent"/>
    <w:basedOn w:val="753"/>
    <w:pPr>
      <w:ind w:firstLine="567"/>
    </w:pPr>
    <w:rPr>
      <w:sz w:val="24"/>
    </w:rPr>
  </w:style>
  <w:style w:type="paragraph" w:styleId="1111" w:customStyle="1">
    <w:name w:val="Основной текст с отступом 31"/>
    <w:basedOn w:val="753"/>
    <w:pPr>
      <w:ind w:firstLine="426"/>
    </w:pPr>
    <w:rPr>
      <w:sz w:val="24"/>
    </w:rPr>
  </w:style>
  <w:style w:type="paragraph" w:styleId="1112" w:customStyle="1">
    <w:name w:val="Основной текст 21"/>
    <w:basedOn w:val="753"/>
    <w:rPr>
      <w:sz w:val="28"/>
    </w:rPr>
  </w:style>
  <w:style w:type="paragraph" w:styleId="1113">
    <w:name w:val="Balloon Text"/>
    <w:basedOn w:val="753"/>
    <w:rPr>
      <w:rFonts w:ascii="Tahoma" w:hAnsi="Tahoma" w:cs="Tahoma"/>
      <w:sz w:val="16"/>
      <w:szCs w:val="16"/>
    </w:rPr>
  </w:style>
  <w:style w:type="paragraph" w:styleId="1114" w:customStyle="1">
    <w:name w:val="ConsPlusNormal"/>
    <w:pPr>
      <w:ind w:firstLine="720"/>
      <w:widowControl w:val="off"/>
    </w:pPr>
    <w:rPr>
      <w:rFonts w:ascii="Arial" w:hAnsi="Arial" w:cs="Arial"/>
      <w:lang w:eastAsia="ar-SA"/>
    </w:rPr>
  </w:style>
  <w:style w:type="paragraph" w:styleId="1115" w:customStyle="1">
    <w:name w:val="Прижатый влево"/>
    <w:basedOn w:val="753"/>
    <w:next w:val="753"/>
    <w:uiPriority w:val="99"/>
    <w:rPr>
      <w:rFonts w:ascii="Arial" w:hAnsi="Arial" w:cs="Arial"/>
      <w:sz w:val="24"/>
      <w:szCs w:val="24"/>
    </w:rPr>
  </w:style>
  <w:style w:type="paragraph" w:styleId="1116" w:customStyle="1">
    <w:name w:val="Нормальный (таблица)"/>
    <w:basedOn w:val="753"/>
    <w:next w:val="753"/>
    <w:pPr>
      <w:jc w:val="both"/>
      <w:widowControl w:val="off"/>
    </w:pPr>
    <w:rPr>
      <w:rFonts w:ascii="Times New Roman CYR" w:hAnsi="Times New Roman CYR" w:cs="Times New Roman CYR"/>
      <w:sz w:val="24"/>
      <w:szCs w:val="24"/>
    </w:rPr>
  </w:style>
  <w:style w:type="paragraph" w:styleId="1117" w:customStyle="1">
    <w:name w:val="s_1"/>
    <w:basedOn w:val="753"/>
    <w:pPr>
      <w:spacing w:before="280" w:after="280"/>
    </w:pPr>
    <w:rPr>
      <w:sz w:val="24"/>
      <w:szCs w:val="24"/>
    </w:rPr>
  </w:style>
  <w:style w:type="paragraph" w:styleId="1118" w:customStyle="1">
    <w:name w:val="Обычный (веб)"/>
    <w:basedOn w:val="753"/>
    <w:pPr>
      <w:spacing w:before="280" w:after="280"/>
    </w:pPr>
    <w:rPr>
      <w:color w:val="122b62"/>
      <w:sz w:val="24"/>
      <w:szCs w:val="24"/>
    </w:rPr>
  </w:style>
  <w:style w:type="paragraph" w:styleId="1119" w:customStyle="1">
    <w:name w:val="Heading"/>
    <w:rPr>
      <w:rFonts w:ascii="Arial" w:hAnsi="Arial" w:cs="Arial"/>
      <w:b/>
      <w:bCs/>
      <w:sz w:val="22"/>
      <w:szCs w:val="22"/>
      <w:lang w:eastAsia="ar-SA"/>
    </w:rPr>
  </w:style>
  <w:style w:type="paragraph" w:styleId="1120" w:customStyle="1">
    <w:name w:val="Содержимое таблицы"/>
    <w:basedOn w:val="753"/>
    <w:pPr>
      <w:suppressLineNumbers/>
    </w:pPr>
  </w:style>
  <w:style w:type="paragraph" w:styleId="1121" w:customStyle="1">
    <w:name w:val="Заголовок таблицы"/>
    <w:basedOn w:val="1120"/>
    <w:pPr>
      <w:jc w:val="center"/>
    </w:pPr>
    <w:rPr>
      <w:b/>
      <w:bCs/>
    </w:rPr>
  </w:style>
  <w:style w:type="character" w:styleId="1122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1123" w:customStyle="1">
    <w:name w:val="Верхний колонтитул Знак"/>
    <w:link w:val="785"/>
    <w:uiPriority w:val="99"/>
    <w:rPr>
      <w:lang w:eastAsia="ar-SA"/>
    </w:rPr>
  </w:style>
  <w:style w:type="character" w:styleId="1124" w:customStyle="1">
    <w:name w:val="Нижний колонтитул Знак"/>
    <w:link w:val="787"/>
    <w:uiPriority w:val="99"/>
    <w:rPr>
      <w:lang w:eastAsia="ar-SA"/>
    </w:rPr>
  </w:style>
  <w:style w:type="table" w:styleId="1125" w:customStyle="1">
    <w:name w:val="Table Grid Report1"/>
    <w:basedOn w:val="764"/>
    <w:next w:val="791"/>
    <w:uiPriority w:val="3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26" w:customStyle="1">
    <w:name w:val="Table Paragraph"/>
    <w:basedOn w:val="767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127" w:customStyle="1">
    <w:name w:val="Стиль 1"/>
    <w:basedOn w:val="767"/>
    <w:pPr>
      <w:contextualSpacing w:val="0"/>
      <w:ind w:left="0" w:right="0" w:firstLine="567"/>
      <w:jc w:val="both"/>
      <w:keepLines w:val="0"/>
      <w:keepNext w:val="0"/>
      <w:pageBreakBefore w:val="0"/>
      <w:spacing w:before="20" w:beforeAutospacing="0" w:after="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28" w:customStyle="1">
    <w:name w:val="Normal (Web)"/>
    <w:basedOn w:val="767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29" w:customStyle="1">
    <w:name w:val="Обычный1"/>
    <w:link w:val="82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30" w:customStyle="1">
    <w:name w:val="Table Contents"/>
    <w:basedOn w:val="76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Liberation Serif" w:hAnsi="Liberation Serif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131" w:customStyle="1">
    <w:name w:val="Default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32" w:customStyle="1">
    <w:name w:val="_Список нумерованный"/>
    <w:link w:val="848"/>
    <w:qFormat/>
    <w:pPr>
      <w:numPr>
        <w:ilvl w:val="0"/>
        <w:numId w:val="35"/>
      </w:numPr>
      <w:contextualSpacing/>
      <w:ind w:left="1069" w:right="0" w:hanging="360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tabs>
        <w:tab w:val="left" w:pos="992" w:leader="none"/>
        <w:tab w:val="left" w:pos="113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theme="minorBidi"/>
      <w:b w:val="0"/>
      <w:bCs w:val="0"/>
      <w:i w:val="0"/>
      <w:iCs/>
      <w:caps w:val="0"/>
      <w:smallCaps w:val="0"/>
      <w:strike w:val="0"/>
      <w:vanish w:val="0"/>
      <w:color w:val="auto"/>
      <w:spacing w:val="0"/>
      <w:position w:val="0"/>
      <w:sz w:val="24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33" w:customStyle="1">
    <w:name w:val="Обычный3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134" w:customStyle="1">
    <w:name w:val="Основной текст1"/>
    <w:link w:val="760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2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35" w:customStyle="1">
    <w:name w:val="ТАБЛИЦА"/>
    <w:link w:val="748"/>
    <w:unhideWhenUsed/>
    <w:qFormat/>
    <w:pPr>
      <w:contextualSpacing w:val="0"/>
      <w:ind w:left="284" w:right="0" w:firstLine="567"/>
      <w:jc w:val="right"/>
      <w:keepLines/>
      <w:keepNext/>
      <w:pageBreakBefore w:val="0"/>
      <w:spacing w:before="4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1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136" w:customStyle="1">
    <w:name w:val="Body Text 2"/>
    <w:link w:val="76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137" w:customStyle="1">
    <w:name w:val="Стиль Заголовок 2"/>
    <w:unhideWhenUsed/>
    <w:pPr>
      <w:contextualSpacing w:val="0"/>
      <w:ind w:left="0" w:right="0" w:firstLine="0"/>
      <w:jc w:val="both"/>
      <w:keepLines/>
      <w:keepNext/>
      <w:pageBreakBefore w:val="0"/>
      <w:spacing w:before="240" w:beforeAutospacing="0" w:after="2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character" w:styleId="1138" w:customStyle="1">
    <w:name w:val="Intense Reference"/>
    <w:basedOn w:val="738"/>
    <w:uiPriority w:val="32"/>
    <w:qFormat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Российскэ Федерацие</dc:title>
  <dc:creator>Irina</dc:creator>
  <cp:lastModifiedBy>user</cp:lastModifiedBy>
  <cp:revision>20</cp:revision>
  <dcterms:created xsi:type="dcterms:W3CDTF">2026-02-13T13:38:00Z</dcterms:created>
  <dcterms:modified xsi:type="dcterms:W3CDTF">2026-02-27T12:20:52Z</dcterms:modified>
  <cp:version>1048576</cp:version>
</cp:coreProperties>
</file>