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254"/>
        <w:gridCol w:w="849"/>
        <w:gridCol w:w="851"/>
        <w:gridCol w:w="3969"/>
      </w:tblGrid>
      <w:tr>
        <w:tblPrEx/>
        <w:trPr>
          <w:cantSplit/>
          <w:trHeight w:val="161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4" w:type="dxa"/>
            <w:textDirection w:val="lrTb"/>
            <w:noWrap w:val="false"/>
          </w:tcPr>
          <w:p>
            <w:pPr>
              <w:pStyle w:val="823"/>
              <w:numPr>
                <w:ilvl w:val="0"/>
                <w:numId w:val="23"/>
              </w:numPr>
              <w:ind w:left="0" w:right="-108" w:firstLine="0"/>
              <w:jc w:val="right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КОМИТЕТ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РЕСПУБЛИКИ АДЫГЕЯ ПО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 xml:space="preserve">АРХИТЕКТУРЕ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И ГРАДОСТРОИТЕЛЬСТВУ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7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935" distR="114935" simplePos="0" relativeHeight="524288" behindDoc="0" locked="0" layoutInCell="1" allowOverlap="1">
                      <wp:simplePos x="0" y="0"/>
                      <wp:positionH relativeFrom="margin">
                        <wp:posOffset>-48895</wp:posOffset>
                      </wp:positionH>
                      <wp:positionV relativeFrom="paragraph">
                        <wp:posOffset>306705</wp:posOffset>
                      </wp:positionV>
                      <wp:extent cx="821690" cy="820420"/>
                      <wp:effectExtent l="0" t="0" r="0" b="0"/>
                      <wp:wrapTopAndBottom/>
                      <wp:docPr id="1" name="_x0000_s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64781592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21689" cy="8204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524288;o:allowoverlap:true;o:allowincell:true;mso-position-horizontal-relative:margin;margin-left:-3.85pt;mso-position-horizontal:absolute;mso-position-vertical-relative:text;margin-top:24.15pt;mso-position-vertical:absolute;width:64.70pt;height:64.60pt;mso-wrap-distance-left:9.05pt;mso-wrap-distance-top:0.00pt;mso-wrap-distance-right:9.05pt;mso-wrap-distance-bottom:0.00pt;" stroked="f">
                      <v:path textboxrect="0,0,0,0"/>
                      <w10:wrap type="topAndBottom"/>
                      <v:imagedata r:id="rId12" o:title=""/>
                    </v:shape>
                  </w:pict>
                </mc:Fallback>
              </mc:AlternateContent>
            </w:r>
            <w:r/>
          </w:p>
          <w:p>
            <w:pPr>
              <w:ind w:left="-109" w:right="-108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69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АДЫГЭ РЕСПУБЛИКЭМ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АРХИТЕКТУРЭМРЭ КЪЭЛЭГЪЭПСЫНЫМРЭК</w:t>
            </w:r>
            <w:r>
              <w:rPr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b/>
                <w:sz w:val="24"/>
                <w:szCs w:val="24"/>
              </w:rPr>
              <w:t xml:space="preserve">Э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-108" w:right="-108"/>
              <w:jc w:val="center"/>
            </w:pPr>
            <w:r>
              <w:rPr>
                <w:b/>
                <w:sz w:val="24"/>
                <w:szCs w:val="24"/>
              </w:rPr>
              <w:t xml:space="preserve">И КОМИТЕТ</w:t>
            </w:r>
            <w:r/>
          </w:p>
        </w:tc>
      </w:tr>
      <w:tr>
        <w:tblPrEx/>
        <w:trPr>
          <w:cantSplit/>
          <w:trHeight w:val="579" w:hRule="exact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textDirection w:val="lrTb"/>
            <w:noWrap w:val="false"/>
          </w:tcPr>
          <w:p>
            <w:pPr>
              <w:ind w:right="742"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Краснооктябрьская ул., д. 12,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42"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Майкоп, 385000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0" w:type="dxa"/>
            <w:textDirection w:val="lrTb"/>
            <w:noWrap w:val="false"/>
          </w:tcPr>
          <w:p>
            <w:pPr>
              <w:ind w:firstLine="8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Краснооктябрьскэм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ур</w:t>
            </w:r>
            <w:r>
              <w:rPr>
                <w:sz w:val="24"/>
                <w:szCs w:val="24"/>
              </w:rPr>
              <w:t xml:space="preserve">., 12,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885"/>
              <w:jc w:val="center"/>
            </w:pPr>
            <w:r>
              <w:rPr>
                <w:sz w:val="24"/>
                <w:szCs w:val="24"/>
              </w:rPr>
              <w:t xml:space="preserve">къ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Мыекъуапэ</w:t>
            </w:r>
            <w:r>
              <w:rPr>
                <w:sz w:val="24"/>
                <w:szCs w:val="24"/>
              </w:rPr>
              <w:t xml:space="preserve">, 385000</w:t>
            </w:r>
            <w:r/>
          </w:p>
        </w:tc>
      </w:tr>
      <w:tr>
        <w:tblPrEx/>
        <w:trPr>
          <w:cantSplit/>
          <w:trHeight w:val="276" w:hRule="exact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тел./факс (8772) 52-47-12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6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тел./факс (8772) 52-47-12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40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е–mail: komarch@adygheya.gov.ru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700" w:type="dxa"/>
            <w:textDirection w:val="lrTb"/>
            <w:noWrap w:val="false"/>
          </w:tcPr>
          <w:p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6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е–mail: komarch@adygheya.gov.ru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</w:tr>
    </w:tbl>
    <w:p>
      <w:pPr>
        <w:pStyle w:val="830"/>
        <w:ind w:left="3600" w:firstLine="0"/>
        <w:spacing w:before="0"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ind w:left="-709"/>
        <w:jc w:val="center"/>
        <w:rPr>
          <w:sz w:val="4"/>
          <w:lang w:val="en-US"/>
        </w:rPr>
      </w:pPr>
      <w:r>
        <w:rPr>
          <w:sz w:val="4"/>
          <w:lang w:val="en-US"/>
        </w:rPr>
      </w:r>
      <w:r>
        <w:rPr>
          <w:sz w:val="4"/>
          <w:lang w:val="en-US"/>
        </w:rPr>
      </w:r>
      <w:r>
        <w:rPr>
          <w:sz w:val="4"/>
          <w:lang w:val="en-US"/>
        </w:rPr>
      </w:r>
    </w:p>
    <w:p>
      <w:pPr>
        <w:pStyle w:val="830"/>
        <w:ind w:left="3600" w:firstLine="0"/>
        <w:spacing w:before="0" w:after="0"/>
        <w:rPr>
          <w:sz w:val="28"/>
          <w:szCs w:val="28"/>
        </w:rPr>
      </w:pPr>
      <w:r>
        <w:rPr>
          <w:rFonts w:ascii="Times New Roman" w:hAnsi="Times New Roman" w:cs="Times New Roman"/>
          <w:bCs/>
          <w:i w:val="0"/>
          <w:sz w:val="28"/>
          <w:szCs w:val="28"/>
        </w:rPr>
        <w:t xml:space="preserve">П Р И К А З № 22-ПЗЗУ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«27» февраля 202</w:t>
      </w:r>
      <w:r>
        <w:rPr>
          <w:sz w:val="28"/>
          <w:szCs w:val="28"/>
        </w:rPr>
        <w:t xml:space="preserve">6 года                                                                     г. Майкоп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188"/>
        <w:ind w:right="-1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</w:r>
      <w:r>
        <w:rPr>
          <w:rFonts w:ascii="Times New Roman" w:hAnsi="Times New Roman" w:cs="Times New Roman"/>
          <w:b w:val="0"/>
          <w:sz w:val="26"/>
          <w:szCs w:val="26"/>
        </w:rPr>
      </w:r>
      <w:r>
        <w:rPr>
          <w:rFonts w:ascii="Times New Roman" w:hAnsi="Times New Roman" w:cs="Times New Roman"/>
          <w:b w:val="0"/>
          <w:sz w:val="26"/>
          <w:szCs w:val="26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22"/>
        <w:jc w:val="center"/>
        <w:rPr>
          <w:b/>
          <w:sz w:val="28"/>
          <w:szCs w:val="28"/>
        </w:rPr>
      </w:pPr>
      <w:r/>
      <w:bookmarkStart w:id="0" w:name="undefined"/>
      <w:r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</w:t>
      </w:r>
      <w:r>
        <w:rPr>
          <w:b/>
          <w:sz w:val="28"/>
          <w:szCs w:val="28"/>
        </w:rPr>
        <w:t xml:space="preserve">я</w:t>
      </w:r>
      <w:r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 xml:space="preserve">Правила землепользования и застройки м</w:t>
      </w:r>
      <w:r>
        <w:rPr>
          <w:b/>
          <w:sz w:val="28"/>
          <w:szCs w:val="28"/>
        </w:rPr>
        <w:t xml:space="preserve">униципального образования «</w:t>
      </w:r>
      <w:r>
        <w:rPr>
          <w:b/>
          <w:sz w:val="28"/>
          <w:szCs w:val="28"/>
        </w:rPr>
        <w:t xml:space="preserve">Тлюстенхабльское городское</w:t>
      </w:r>
      <w:r>
        <w:rPr>
          <w:b/>
          <w:sz w:val="28"/>
          <w:szCs w:val="28"/>
        </w:rPr>
        <w:t xml:space="preserve"> поселение </w:t>
      </w:r>
      <w:r>
        <w:rPr>
          <w:b/>
          <w:sz w:val="28"/>
          <w:szCs w:val="28"/>
        </w:rPr>
        <w:t xml:space="preserve">Теучежского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 xml:space="preserve">района Республики Адыгея</w:t>
      </w:r>
      <w:bookmarkEnd w:id="0"/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22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0"/>
        <w:jc w:val="both"/>
        <w:rPr>
          <w:rFonts w:eastAsia="SimSun"/>
          <w:sz w:val="28"/>
          <w:szCs w:val="28"/>
          <w:lang w:eastAsia="zh-CN"/>
          <w14:ligatures w14:val="none"/>
        </w:rPr>
      </w:pPr>
      <w:r>
        <w:rPr>
          <w:rFonts w:eastAsia="SimSun"/>
          <w:bCs/>
          <w:iCs/>
          <w:sz w:val="28"/>
          <w:szCs w:val="28"/>
          <w:lang w:eastAsia="zh-CN"/>
        </w:rPr>
        <w:t xml:space="preserve">В соответствии со статей 32, 33 Градостроительного кодекса Российской Федерации, пунктом 2 статьи 2 Закона Республики А</w:t>
      </w:r>
      <w:r>
        <w:rPr>
          <w:rFonts w:eastAsia="SimSun"/>
          <w:bCs/>
          <w:iCs/>
          <w:sz w:val="28"/>
          <w:szCs w:val="28"/>
          <w:lang w:eastAsia="zh-CN"/>
        </w:rPr>
        <w:t xml:space="preserve">дыгея от 4 августа 2021 г. № 490 «О перераспределении отдельных полномочий в </w:t>
      </w:r>
      <w:r>
        <w:rPr>
          <w:rFonts w:eastAsia="SimSun"/>
          <w:sz w:val="28"/>
          <w:szCs w:val="28"/>
          <w:lang w:eastAsia="zh-CN"/>
        </w:rPr>
        <w:t xml:space="preserve">области градостроительной деятельности между органами местного самоуправлен</w:t>
      </w:r>
      <w:r>
        <w:rPr>
          <w:rFonts w:eastAsia="SimSun"/>
          <w:sz w:val="28"/>
          <w:szCs w:val="28"/>
          <w:lang w:eastAsia="zh-CN"/>
        </w:rPr>
        <w:t xml:space="preserve">ия и органами государственной власти Республики Адыгея», подпунктом 32 пункта 1 раздела III Положения о Комитете Республики Адыгея по архитектуре и градостроительству, утвержденного постановлением Кабинета Министров Республики Адыгея от 4 июня 2007г. № 94,</w:t>
      </w:r>
      <w:r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 xml:space="preserve">на основании Приказа Комитета республики Адыгея по архитектуре и градостроительству </w:t>
      </w:r>
      <w:r>
        <w:rPr>
          <w:rFonts w:eastAsia="SimSun"/>
          <w:sz w:val="28"/>
          <w:szCs w:val="28"/>
          <w:lang w:eastAsia="zh-CN"/>
        </w:rPr>
        <w:t xml:space="preserve">от 12.01.2026</w:t>
      </w:r>
      <w:r>
        <w:rPr>
          <w:rFonts w:eastAsia="SimSun"/>
          <w:sz w:val="28"/>
          <w:szCs w:val="28"/>
          <w:lang w:eastAsia="zh-CN"/>
        </w:rPr>
        <w:t xml:space="preserve">г. № 01-ГП </w:t>
      </w:r>
      <w:r>
        <w:rPr>
          <w:rFonts w:eastAsia="SimSun"/>
          <w:sz w:val="28"/>
          <w:szCs w:val="28"/>
          <w:lang w:eastAsia="zh-CN"/>
        </w:rPr>
        <w:t xml:space="preserve">«</w:t>
      </w:r>
      <w:r>
        <w:rPr>
          <w:rFonts w:eastAsia="SimSun"/>
          <w:sz w:val="28"/>
          <w:szCs w:val="28"/>
          <w:lang w:eastAsia="zh-CN"/>
        </w:rPr>
        <w:t xml:space="preserve">О подготовке проект</w:t>
      </w:r>
      <w:r>
        <w:rPr>
          <w:rFonts w:eastAsia="SimSun"/>
          <w:sz w:val="28"/>
          <w:szCs w:val="28"/>
          <w:lang w:eastAsia="zh-CN"/>
        </w:rPr>
        <w:t xml:space="preserve">ов</w:t>
      </w:r>
      <w:r>
        <w:rPr>
          <w:rFonts w:eastAsia="SimSun"/>
          <w:sz w:val="28"/>
          <w:szCs w:val="28"/>
          <w:lang w:eastAsia="zh-CN"/>
        </w:rPr>
        <w:t xml:space="preserve"> внесения изменений в </w:t>
      </w:r>
      <w:r>
        <w:rPr>
          <w:rFonts w:eastAsia="SimSun"/>
          <w:sz w:val="28"/>
          <w:szCs w:val="28"/>
          <w:lang w:eastAsia="zh-CN"/>
        </w:rPr>
        <w:t xml:space="preserve">генеральн</w:t>
      </w:r>
      <w:r>
        <w:rPr>
          <w:rFonts w:eastAsia="SimSun"/>
          <w:sz w:val="28"/>
          <w:szCs w:val="28"/>
          <w:lang w:eastAsia="zh-CN"/>
        </w:rPr>
        <w:t xml:space="preserve">ый план </w:t>
      </w:r>
      <w:r>
        <w:rPr>
          <w:rFonts w:eastAsia="SimSun"/>
          <w:sz w:val="28"/>
          <w:szCs w:val="28"/>
          <w:lang w:eastAsia="zh-CN"/>
        </w:rPr>
        <w:t xml:space="preserve">и правила землепользования и застройки </w:t>
      </w:r>
      <w:r>
        <w:rPr>
          <w:rFonts w:eastAsia="SimSun"/>
          <w:sz w:val="28"/>
          <w:szCs w:val="28"/>
          <w:lang w:eastAsia="zh-CN"/>
        </w:rPr>
        <w:t xml:space="preserve">муниципального образования «</w:t>
      </w:r>
      <w:r>
        <w:rPr>
          <w:rFonts w:eastAsia="SimSun"/>
          <w:sz w:val="28"/>
          <w:szCs w:val="28"/>
          <w:lang w:eastAsia="zh-CN"/>
        </w:rPr>
        <w:t xml:space="preserve">Тлюстенхабльское</w:t>
      </w:r>
      <w:r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 xml:space="preserve">городское</w:t>
      </w:r>
      <w:r>
        <w:rPr>
          <w:rFonts w:eastAsia="SimSun"/>
          <w:sz w:val="28"/>
          <w:szCs w:val="28"/>
          <w:lang w:eastAsia="zh-CN"/>
        </w:rPr>
        <w:t xml:space="preserve"> поселение</w:t>
      </w:r>
      <w:r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 xml:space="preserve">Теучежского</w:t>
      </w:r>
      <w:r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 xml:space="preserve">муниципального </w:t>
      </w:r>
      <w:r>
        <w:rPr>
          <w:rFonts w:eastAsia="SimSun"/>
          <w:sz w:val="28"/>
          <w:szCs w:val="28"/>
          <w:lang w:eastAsia="zh-CN"/>
        </w:rPr>
        <w:t xml:space="preserve">района Республики Адыгея</w:t>
      </w:r>
      <w:r>
        <w:rPr>
          <w:rFonts w:eastAsia="SimSun"/>
          <w:sz w:val="28"/>
          <w:szCs w:val="28"/>
          <w:lang w:eastAsia="zh-CN"/>
        </w:rPr>
        <w:t xml:space="preserve">»</w:t>
      </w:r>
      <w:r>
        <w:rPr>
          <w:rFonts w:eastAsia="SimSun"/>
          <w:sz w:val="28"/>
          <w:szCs w:val="28"/>
          <w:lang w:eastAsia="zh-CN"/>
        </w:rPr>
        <w:t xml:space="preserve">»</w:t>
      </w:r>
      <w:r>
        <w:rPr>
          <w:rFonts w:eastAsia="SimSun"/>
          <w:sz w:val="28"/>
          <w:szCs w:val="28"/>
          <w:lang w:eastAsia="zh-CN"/>
        </w:rPr>
        <w:t xml:space="preserve">,</w:t>
      </w:r>
      <w:r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 xml:space="preserve">приказываю:</w:t>
      </w:r>
      <w:r>
        <w:rPr>
          <w:rFonts w:eastAsia="SimSun"/>
          <w:sz w:val="28"/>
          <w:szCs w:val="28"/>
          <w:lang w:eastAsia="zh-CN"/>
          <w14:ligatures w14:val="none"/>
        </w:rPr>
      </w:r>
      <w:r>
        <w:rPr>
          <w:rFonts w:eastAsia="SimSun"/>
          <w:sz w:val="28"/>
          <w:szCs w:val="28"/>
          <w:lang w:eastAsia="zh-CN"/>
          <w14:ligatures w14:val="none"/>
        </w:rPr>
      </w:r>
    </w:p>
    <w:p>
      <w:pPr>
        <w:pStyle w:val="822"/>
        <w:numPr>
          <w:ilvl w:val="0"/>
          <w:numId w:val="49"/>
        </w:numPr>
        <w:ind w:left="0" w:right="0" w:firstLine="34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Внести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правила землепользования и застройки муницип</w:t>
      </w:r>
      <w:r>
        <w:rPr>
          <w:sz w:val="28"/>
          <w:szCs w:val="28"/>
        </w:rPr>
        <w:t xml:space="preserve">ального образования «</w:t>
      </w:r>
      <w:r>
        <w:rPr>
          <w:sz w:val="28"/>
          <w:szCs w:val="28"/>
        </w:rPr>
        <w:t xml:space="preserve">Тлюстенхабльское городское</w:t>
      </w:r>
      <w:r>
        <w:rPr>
          <w:sz w:val="28"/>
          <w:szCs w:val="28"/>
        </w:rPr>
        <w:t xml:space="preserve"> поселение </w:t>
      </w:r>
      <w:r>
        <w:rPr>
          <w:sz w:val="28"/>
          <w:szCs w:val="28"/>
        </w:rPr>
        <w:t xml:space="preserve">Теучежского</w:t>
      </w:r>
      <w:r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 Республики Адыгея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утвержденные Решением Совета народных депутатов муниципального образования «Тлюстенхабльское городское поселение» № 83 от 29.12.2018 г. </w:t>
      </w:r>
      <w:r>
        <w:rPr>
          <w:sz w:val="28"/>
          <w:szCs w:val="28"/>
        </w:rPr>
        <w:t xml:space="preserve">(далее – Правила) следующие изменения: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822"/>
        <w:numPr>
          <w:ilvl w:val="0"/>
          <w:numId w:val="48"/>
        </w:numPr>
        <w:jc w:val="both"/>
        <w:rPr>
          <w:rFonts w:eastAsia="SimSun"/>
          <w:bCs/>
          <w:iCs/>
          <w:sz w:val="28"/>
          <w:szCs w:val="28"/>
          <w:lang w:eastAsia="zh-CN"/>
        </w:rPr>
      </w:pPr>
      <w:r>
        <w:rPr>
          <w:rFonts w:eastAsia="SimSun"/>
          <w:bCs/>
          <w:iCs/>
          <w:sz w:val="28"/>
          <w:szCs w:val="28"/>
          <w:lang w:eastAsia="zh-CN"/>
        </w:rPr>
        <w:t xml:space="preserve">в част</w:t>
      </w:r>
      <w:r>
        <w:rPr>
          <w:rFonts w:eastAsia="SimSun"/>
          <w:bCs/>
          <w:iCs/>
          <w:sz w:val="28"/>
          <w:szCs w:val="28"/>
          <w:lang w:eastAsia="zh-CN"/>
        </w:rPr>
        <w:t xml:space="preserve">и</w:t>
      </w:r>
      <w:r>
        <w:rPr>
          <w:rFonts w:eastAsia="SimSun"/>
          <w:bCs/>
          <w:iCs/>
          <w:sz w:val="28"/>
          <w:szCs w:val="28"/>
          <w:lang w:eastAsia="zh-CN"/>
        </w:rPr>
        <w:t xml:space="preserve"> II Правил</w:t>
      </w:r>
      <w:r>
        <w:rPr>
          <w:rFonts w:eastAsia="SimSun"/>
          <w:bCs/>
          <w:iCs/>
          <w:sz w:val="28"/>
          <w:szCs w:val="28"/>
          <w:lang w:eastAsia="zh-CN"/>
        </w:rPr>
        <w:t xml:space="preserve">:</w:t>
      </w:r>
      <w:r>
        <w:rPr>
          <w:rFonts w:eastAsia="SimSun"/>
          <w:bCs/>
          <w:iCs/>
          <w:sz w:val="28"/>
          <w:szCs w:val="28"/>
          <w:lang w:eastAsia="zh-CN"/>
        </w:rPr>
      </w:r>
      <w:r>
        <w:rPr>
          <w:rFonts w:eastAsia="SimSun"/>
          <w:bCs/>
          <w:iCs/>
          <w:sz w:val="28"/>
          <w:szCs w:val="28"/>
          <w:lang w:eastAsia="zh-CN"/>
        </w:rPr>
      </w:r>
    </w:p>
    <w:p>
      <w:pPr>
        <w:pStyle w:val="822"/>
        <w:ind w:firstLine="567"/>
        <w:jc w:val="both"/>
        <w:rPr>
          <w:rFonts w:eastAsia="SimSun"/>
          <w:bCs/>
          <w:iCs/>
          <w:sz w:val="28"/>
          <w:szCs w:val="28"/>
          <w:lang w:eastAsia="zh-CN"/>
        </w:rPr>
      </w:pPr>
      <w:r>
        <w:rPr>
          <w:rFonts w:eastAsia="SimSun"/>
          <w:bCs/>
          <w:iCs/>
          <w:sz w:val="28"/>
          <w:szCs w:val="28"/>
          <w:lang w:eastAsia="zh-CN"/>
        </w:rPr>
        <w:t xml:space="preserve">а)</w:t>
      </w:r>
      <w:r>
        <w:rPr>
          <w:rFonts w:eastAsia="SimSun"/>
          <w:bCs/>
          <w:iCs/>
          <w:sz w:val="28"/>
          <w:szCs w:val="28"/>
          <w:lang w:eastAsia="zh-CN"/>
        </w:rPr>
        <w:t xml:space="preserve"> </w:t>
      </w:r>
      <w:r>
        <w:rPr>
          <w:rFonts w:eastAsia="SimSun"/>
          <w:bCs/>
          <w:iCs/>
          <w:sz w:val="28"/>
          <w:szCs w:val="28"/>
          <w:lang w:eastAsia="zh-CN"/>
        </w:rPr>
        <w:t xml:space="preserve">изложить в </w:t>
      </w:r>
      <w:r>
        <w:rPr>
          <w:rFonts w:eastAsia="SimSun"/>
          <w:bCs/>
          <w:iCs/>
          <w:sz w:val="28"/>
          <w:szCs w:val="28"/>
          <w:lang w:eastAsia="zh-CN"/>
        </w:rPr>
        <w:t xml:space="preserve">новой редакции карту градостроительного зонирования (приложение № 1 к настоящему приказу)</w:t>
      </w:r>
      <w:r>
        <w:rPr>
          <w:rFonts w:eastAsia="SimSun"/>
          <w:bCs/>
          <w:iCs/>
          <w:sz w:val="28"/>
          <w:szCs w:val="28"/>
          <w:lang w:eastAsia="zh-CN"/>
        </w:rPr>
        <w:t xml:space="preserve">;</w:t>
      </w:r>
      <w:r>
        <w:rPr>
          <w:rFonts w:eastAsia="SimSun"/>
          <w:bCs/>
          <w:iCs/>
          <w:sz w:val="28"/>
          <w:szCs w:val="28"/>
          <w:lang w:eastAsia="zh-CN"/>
        </w:rPr>
      </w:r>
      <w:r>
        <w:rPr>
          <w:rFonts w:eastAsia="SimSun"/>
          <w:bCs/>
          <w:iCs/>
          <w:sz w:val="28"/>
          <w:szCs w:val="28"/>
          <w:lang w:eastAsia="zh-CN"/>
        </w:rPr>
      </w:r>
    </w:p>
    <w:p>
      <w:pPr>
        <w:pStyle w:val="822"/>
        <w:ind w:firstLine="567"/>
        <w:jc w:val="both"/>
        <w:rPr>
          <w:rFonts w:eastAsia="SimSun"/>
          <w:bCs/>
          <w:iCs/>
          <w:sz w:val="28"/>
          <w:szCs w:val="28"/>
          <w:lang w:eastAsia="zh-CN"/>
        </w:rPr>
      </w:pPr>
      <w:r/>
      <w:bookmarkStart w:id="0" w:name="undefined"/>
      <w:r>
        <w:rPr>
          <w:rFonts w:eastAsia="SimSun"/>
          <w:bCs/>
          <w:iCs/>
          <w:sz w:val="28"/>
          <w:szCs w:val="28"/>
          <w:lang w:eastAsia="zh-CN"/>
        </w:rPr>
        <w:t xml:space="preserve">б) </w:t>
      </w:r>
      <w:r>
        <w:rPr>
          <w:rFonts w:eastAsia="SimSun"/>
          <w:bCs/>
          <w:iCs/>
          <w:sz w:val="28"/>
          <w:szCs w:val="28"/>
          <w:lang w:eastAsia="zh-CN"/>
        </w:rPr>
        <w:t xml:space="preserve">изложить в новой редакции карту </w:t>
      </w:r>
      <w:r>
        <w:rPr>
          <w:rFonts w:eastAsia="SimSun"/>
          <w:bCs/>
          <w:iCs/>
          <w:sz w:val="28"/>
          <w:szCs w:val="28"/>
          <w:lang w:eastAsia="zh-CN"/>
        </w:rPr>
        <w:t xml:space="preserve">градостроительного зонирования с границами зон с особыми условиями использования территорий (приложение № 2 к на</w:t>
      </w:r>
      <w:r>
        <w:rPr>
          <w:rFonts w:eastAsia="SimSun"/>
          <w:bCs/>
          <w:iCs/>
          <w:sz w:val="28"/>
          <w:szCs w:val="28"/>
          <w:lang w:eastAsia="zh-CN"/>
        </w:rPr>
        <w:t xml:space="preserve">стоящему приказу)</w:t>
      </w:r>
      <w:r>
        <w:rPr>
          <w:rFonts w:eastAsia="SimSun"/>
          <w:bCs/>
          <w:iCs/>
          <w:sz w:val="28"/>
          <w:szCs w:val="28"/>
          <w:lang w:eastAsia="zh-CN"/>
        </w:rPr>
        <w:t xml:space="preserve">;</w:t>
      </w:r>
      <w:r>
        <w:rPr>
          <w:rFonts w:eastAsia="SimSun"/>
          <w:bCs/>
          <w:iCs/>
          <w:sz w:val="28"/>
          <w:szCs w:val="28"/>
          <w:lang w:eastAsia="zh-CN"/>
        </w:rPr>
      </w:r>
      <w:r>
        <w:rPr>
          <w:rFonts w:eastAsia="SimSun"/>
          <w:bCs/>
          <w:iCs/>
          <w:sz w:val="28"/>
          <w:szCs w:val="28"/>
          <w:lang w:eastAsia="zh-CN"/>
        </w:rPr>
      </w:r>
    </w:p>
    <w:p>
      <w:pPr>
        <w:pStyle w:val="822"/>
        <w:ind w:firstLine="567"/>
        <w:jc w:val="both"/>
        <w:rPr>
          <w:rFonts w:eastAsia="SimSun"/>
          <w:bCs/>
          <w:iCs/>
          <w:sz w:val="28"/>
          <w:szCs w:val="28"/>
          <w:lang w:eastAsia="zh-CN"/>
        </w:rPr>
      </w:pPr>
      <w:r/>
      <w:bookmarkEnd w:id="0"/>
      <w:r>
        <w:rPr>
          <w:rFonts w:eastAsia="SimSun"/>
          <w:bCs/>
          <w:iCs/>
          <w:sz w:val="28"/>
          <w:szCs w:val="28"/>
          <w:lang w:eastAsia="zh-CN"/>
        </w:rPr>
        <w:t xml:space="preserve">в) </w:t>
      </w:r>
      <w:r>
        <w:rPr>
          <w:rFonts w:eastAsia="SimSun"/>
          <w:bCs/>
          <w:iCs/>
          <w:sz w:val="28"/>
          <w:szCs w:val="28"/>
          <w:lang w:eastAsia="zh-CN"/>
        </w:rPr>
        <w:t xml:space="preserve">изложить в новой редакции карту</w:t>
      </w:r>
      <w:r>
        <w:rPr>
          <w:rFonts w:eastAsia="SimSun"/>
          <w:bCs/>
          <w:iCs/>
          <w:sz w:val="28"/>
          <w:szCs w:val="28"/>
          <w:lang w:eastAsia="zh-CN"/>
        </w:rPr>
        <w:t xml:space="preserve"> зон приаэродромной территории (зоны подлета)</w:t>
      </w:r>
      <w:r>
        <w:rPr>
          <w:rFonts w:eastAsia="SimSun"/>
          <w:bCs/>
          <w:iCs/>
          <w:sz w:val="28"/>
          <w:szCs w:val="28"/>
          <w:lang w:eastAsia="zh-CN"/>
        </w:rPr>
        <w:t xml:space="preserve"> </w:t>
      </w:r>
      <w:r>
        <w:rPr>
          <w:rFonts w:eastAsia="SimSun"/>
          <w:bCs/>
          <w:iCs/>
          <w:sz w:val="28"/>
          <w:szCs w:val="28"/>
          <w:lang w:eastAsia="zh-CN"/>
        </w:rPr>
        <w:t xml:space="preserve">(приложение № 3 к настоящему приказу</w:t>
      </w:r>
      <w:r>
        <w:rPr>
          <w:rFonts w:eastAsia="SimSun"/>
          <w:bCs/>
          <w:iCs/>
          <w:sz w:val="28"/>
          <w:szCs w:val="28"/>
          <w:lang w:eastAsia="zh-CN"/>
        </w:rPr>
        <w:t xml:space="preserve">);</w:t>
      </w:r>
      <w:r>
        <w:rPr>
          <w:rFonts w:eastAsia="SimSun"/>
          <w:bCs/>
          <w:iCs/>
          <w:sz w:val="28"/>
          <w:szCs w:val="28"/>
          <w:lang w:eastAsia="zh-CN"/>
        </w:rPr>
      </w:r>
      <w:r>
        <w:rPr>
          <w:rFonts w:eastAsia="SimSun"/>
          <w:bCs/>
          <w:iCs/>
          <w:sz w:val="28"/>
          <w:szCs w:val="28"/>
          <w:lang w:eastAsia="zh-CN"/>
        </w:rPr>
      </w:r>
    </w:p>
    <w:p>
      <w:pPr>
        <w:jc w:val="both"/>
        <w:spacing w:line="256" w:lineRule="auto"/>
        <w:tabs>
          <w:tab w:val="left" w:pos="0" w:leader="none"/>
          <w:tab w:val="left" w:pos="2520" w:leader="none"/>
        </w:tabs>
        <w:rPr>
          <w:rFonts w:eastAsia="SimSun"/>
          <w:bCs/>
          <w:color w:val="000000" w:themeColor="text1"/>
          <w:sz w:val="24"/>
          <w:szCs w:val="24"/>
          <w:lang w:eastAsia="zh-CN"/>
          <w14:ligatures w14:val="none"/>
        </w:rPr>
      </w:pPr>
      <w:r>
        <w:rPr>
          <w:rFonts w:eastAsia="SimSun"/>
          <w:sz w:val="28"/>
          <w:szCs w:val="28"/>
          <w:lang w:eastAsia="zh-CN"/>
        </w:rPr>
        <w:t xml:space="preserve">2</w:t>
      </w:r>
      <w:r>
        <w:rPr>
          <w:rFonts w:eastAsia="SimSun"/>
          <w:sz w:val="28"/>
          <w:szCs w:val="28"/>
          <w:lang w:eastAsia="zh-CN"/>
        </w:rPr>
        <w:t xml:space="preserve">)</w:t>
      </w:r>
      <w:r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 xml:space="preserve">в части III статьи </w:t>
      </w:r>
      <w:r>
        <w:rPr>
          <w:rFonts w:eastAsia="SimSun"/>
          <w:sz w:val="28"/>
          <w:szCs w:val="28"/>
          <w:lang w:eastAsia="zh-CN"/>
        </w:rPr>
        <w:t xml:space="preserve">31</w:t>
      </w:r>
      <w:r>
        <w:rPr>
          <w:rFonts w:eastAsia="SimSun"/>
          <w:sz w:val="28"/>
          <w:szCs w:val="28"/>
          <w:lang w:eastAsia="zh-CN"/>
        </w:rPr>
        <w:t xml:space="preserve"> Правил </w:t>
      </w:r>
      <w:r>
        <w:rPr>
          <w:sz w:val="28"/>
          <w:szCs w:val="28"/>
        </w:rPr>
        <w:t xml:space="preserve">в таблице «1. Основные виды и параметры разрешенного использования земельных участков и объектов капитального </w:t>
      </w:r>
      <w:r>
        <w:rPr>
          <w:rFonts w:eastAsia="SimSun"/>
          <w:sz w:val="28"/>
          <w:szCs w:val="28"/>
          <w:lang w:eastAsia="zh-CN"/>
        </w:rPr>
        <w:t xml:space="preserve">строительства» зоны </w:t>
      </w:r>
      <w:r>
        <w:rPr>
          <w:rFonts w:eastAsia="SimSun"/>
          <w:sz w:val="28"/>
          <w:szCs w:val="28"/>
          <w:lang w:eastAsia="zh-CN"/>
        </w:rPr>
        <w:t xml:space="preserve">Р-2. «Зона объектов спортивно-оздоровительного и </w:t>
      </w:r>
      <w:r>
        <w:rPr>
          <w:rFonts w:eastAsia="SimSun"/>
          <w:sz w:val="28"/>
          <w:szCs w:val="28"/>
          <w:lang w:eastAsia="zh-CN"/>
        </w:rPr>
        <w:t xml:space="preserve">развлекательного назначения</w:t>
      </w:r>
      <w:r>
        <w:rPr>
          <w:rFonts w:eastAsia="SimSun"/>
          <w:sz w:val="28"/>
          <w:szCs w:val="28"/>
          <w:lang w:eastAsia="zh-CN"/>
        </w:rPr>
        <w:t xml:space="preserve">» </w:t>
      </w:r>
      <w:r>
        <w:rPr>
          <w:rFonts w:eastAsia="SimSun"/>
          <w:sz w:val="28"/>
          <w:szCs w:val="28"/>
          <w:lang w:eastAsia="zh-CN"/>
        </w:rPr>
        <w:t xml:space="preserve">в столбце «Предельные размеры земельных участков и предельные параметры разрешенного строительства» видов разрешенного использования земельного участка «</w:t>
      </w:r>
      <w:r>
        <w:rPr>
          <w:rFonts w:eastAsia="SimSun"/>
          <w:sz w:val="28"/>
          <w:szCs w:val="28"/>
          <w:lang w:eastAsia="zh-CN"/>
        </w:rPr>
        <w:t xml:space="preserve">Обеспечение занятий спортом в помещениях  </w:t>
      </w:r>
      <w:r>
        <w:rPr>
          <w:rFonts w:eastAsia="SimSun"/>
          <w:sz w:val="28"/>
          <w:szCs w:val="28"/>
          <w:lang w:eastAsia="zh-CN"/>
        </w:rPr>
        <w:t xml:space="preserve">(5.1.2)</w:t>
      </w:r>
      <w:r>
        <w:rPr>
          <w:rFonts w:eastAsia="SimSun"/>
          <w:sz w:val="28"/>
          <w:szCs w:val="28"/>
          <w:lang w:eastAsia="zh-CN"/>
        </w:rPr>
        <w:t xml:space="preserve">», «</w:t>
      </w:r>
      <w:r>
        <w:rPr>
          <w:rFonts w:eastAsia="SimSun"/>
          <w:sz w:val="28"/>
          <w:szCs w:val="28"/>
          <w:lang w:eastAsia="zh-CN"/>
        </w:rPr>
        <w:t xml:space="preserve">Оборудованные площадки для занятий спортом </w:t>
      </w:r>
      <w:r>
        <w:rPr>
          <w:rFonts w:eastAsia="SimSun"/>
          <w:sz w:val="28"/>
          <w:szCs w:val="28"/>
          <w:lang w:eastAsia="zh-CN"/>
        </w:rPr>
        <w:t xml:space="preserve"> (5.1.4)</w:t>
      </w:r>
      <w:r>
        <w:rPr>
          <w:rFonts w:eastAsia="SimSun"/>
          <w:sz w:val="28"/>
          <w:szCs w:val="28"/>
          <w:lang w:eastAsia="zh-CN"/>
        </w:rPr>
        <w:t xml:space="preserve">», «</w:t>
      </w:r>
      <w:r>
        <w:rPr>
          <w:rFonts w:eastAsia="SimSun"/>
          <w:sz w:val="28"/>
          <w:szCs w:val="28"/>
          <w:lang w:eastAsia="zh-CN"/>
        </w:rPr>
        <w:t xml:space="preserve">Площадки для занятий спортом (5.1.3)</w:t>
      </w:r>
      <w:r>
        <w:rPr>
          <w:rFonts w:eastAsia="SimSun"/>
          <w:sz w:val="28"/>
          <w:szCs w:val="28"/>
          <w:lang w:eastAsia="zh-CN"/>
        </w:rPr>
        <w:t xml:space="preserve">», «</w:t>
      </w:r>
      <w:r>
        <w:rPr>
          <w:rFonts w:eastAsia="SimSun"/>
          <w:sz w:val="28"/>
          <w:szCs w:val="28"/>
          <w:lang w:eastAsia="zh-CN"/>
        </w:rPr>
        <w:t xml:space="preserve">Спортивные базы</w:t>
      </w:r>
      <w:r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 xml:space="preserve">(5.1.7)</w:t>
      </w:r>
      <w:r>
        <w:rPr>
          <w:rFonts w:eastAsia="SimSun"/>
          <w:sz w:val="28"/>
          <w:szCs w:val="28"/>
          <w:lang w:eastAsia="zh-CN"/>
        </w:rPr>
        <w:t xml:space="preserve">»</w:t>
      </w:r>
      <w:r>
        <w:rPr>
          <w:rFonts w:eastAsia="SimSun"/>
          <w:sz w:val="28"/>
          <w:szCs w:val="28"/>
          <w:lang w:eastAsia="zh-CN"/>
        </w:rPr>
        <w:t xml:space="preserve"> слова «</w:t>
      </w:r>
      <w:r>
        <w:rPr>
          <w:rFonts w:eastAsia="SimSun"/>
          <w:sz w:val="28"/>
          <w:szCs w:val="28"/>
          <w:lang w:eastAsia="zh-CN"/>
        </w:rPr>
        <w:t xml:space="preserve">минимальная/максимальная площадь земельного участка - </w:t>
      </w:r>
      <w:r>
        <w:rPr>
          <w:rFonts w:eastAsia="SimSun"/>
          <w:sz w:val="28"/>
          <w:szCs w:val="28"/>
          <w:lang w:eastAsia="zh-CN"/>
        </w:rPr>
        <w:t xml:space="preserve">1000/15000</w:t>
      </w:r>
      <w:r>
        <w:rPr>
          <w:rFonts w:eastAsia="SimSun"/>
          <w:sz w:val="28"/>
          <w:szCs w:val="28"/>
          <w:lang w:eastAsia="zh-CN"/>
        </w:rPr>
        <w:t xml:space="preserve"> кв. м</w:t>
      </w:r>
      <w:r>
        <w:rPr>
          <w:rFonts w:eastAsia="SimSun"/>
          <w:sz w:val="28"/>
          <w:szCs w:val="28"/>
          <w:lang w:eastAsia="zh-CN"/>
        </w:rPr>
        <w:t xml:space="preserve">.» заменить словами «</w:t>
      </w:r>
      <w:r>
        <w:rPr>
          <w:rFonts w:eastAsia="SimSun"/>
          <w:sz w:val="28"/>
          <w:szCs w:val="28"/>
          <w:lang w:eastAsia="zh-CN"/>
        </w:rPr>
        <w:t xml:space="preserve">минимальная/максимальная площадь земельного участка - </w:t>
      </w:r>
      <w:r>
        <w:rPr>
          <w:rFonts w:eastAsia="SimSun"/>
          <w:sz w:val="28"/>
          <w:szCs w:val="28"/>
          <w:lang w:eastAsia="zh-CN"/>
        </w:rPr>
        <w:t xml:space="preserve">1000/150 000</w:t>
      </w:r>
      <w:r>
        <w:rPr>
          <w:rFonts w:eastAsia="SimSun"/>
          <w:sz w:val="28"/>
          <w:szCs w:val="28"/>
          <w:lang w:eastAsia="zh-CN"/>
        </w:rPr>
        <w:t xml:space="preserve"> кв. м</w:t>
      </w:r>
      <w:r>
        <w:rPr>
          <w:rFonts w:eastAsia="SimSun"/>
          <w:sz w:val="28"/>
          <w:szCs w:val="28"/>
          <w:lang w:eastAsia="zh-CN"/>
        </w:rPr>
        <w:t xml:space="preserve">.</w:t>
      </w:r>
      <w:r>
        <w:rPr>
          <w:rFonts w:eastAsia="SimSun"/>
          <w:sz w:val="28"/>
          <w:szCs w:val="28"/>
          <w:lang w:eastAsia="zh-CN"/>
        </w:rPr>
        <w:t xml:space="preserve">»;</w:t>
      </w:r>
      <w:r>
        <w:rPr>
          <w:rFonts w:eastAsia="SimSun"/>
          <w:bCs/>
          <w:color w:val="000000" w:themeColor="text1"/>
          <w:sz w:val="24"/>
          <w:szCs w:val="24"/>
          <w:lang w:eastAsia="zh-CN"/>
          <w14:ligatures w14:val="none"/>
        </w:rPr>
      </w:r>
      <w:r>
        <w:rPr>
          <w:rFonts w:eastAsia="SimSun"/>
          <w:bCs/>
          <w:color w:val="000000" w:themeColor="text1"/>
          <w:sz w:val="24"/>
          <w:szCs w:val="24"/>
          <w:lang w:eastAsia="zh-CN"/>
          <w14:ligatures w14:val="none"/>
        </w:rPr>
      </w:r>
    </w:p>
    <w:p>
      <w:pPr>
        <w:jc w:val="both"/>
        <w:rPr>
          <w:rFonts w:eastAsia="SimSun"/>
          <w:sz w:val="28"/>
          <w:szCs w:val="28"/>
          <w:highlight w:val="none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2) в части III статью 36 Правил дополнить текстом следующего содержания:</w:t>
      </w:r>
      <w:r>
        <w:rPr>
          <w:rFonts w:eastAsia="SimSun"/>
          <w:sz w:val="28"/>
          <w:szCs w:val="28"/>
          <w:highlight w:val="none"/>
          <w:lang w:eastAsia="zh-CN"/>
        </w:rPr>
      </w:r>
      <w:r>
        <w:rPr>
          <w:rFonts w:eastAsia="SimSun"/>
          <w:sz w:val="28"/>
          <w:szCs w:val="28"/>
          <w:highlight w:val="none"/>
          <w:lang w:eastAsia="zh-CN"/>
        </w:rPr>
      </w:r>
    </w:p>
    <w:p>
      <w:pPr>
        <w:pStyle w:val="1186"/>
        <w:ind w:firstLine="709"/>
        <w:jc w:val="center"/>
        <w:spacing w:before="0" w:beforeAutospacing="0" w:after="0" w:afterAutospacing="0"/>
        <w:widowControl w:val="off"/>
        <w:rPr>
          <w:b/>
          <w:bCs/>
          <w:color w:val="000000" w:themeColor="text1"/>
          <w:shd w:val="clear" w:color="auto" w:fill="ffffff"/>
        </w:rPr>
      </w:pPr>
      <w:r>
        <w:rPr>
          <w:rFonts w:eastAsia="SimSun"/>
          <w:sz w:val="28"/>
          <w:szCs w:val="28"/>
          <w:highlight w:val="none"/>
          <w:lang w:eastAsia="zh-CN"/>
        </w:rPr>
        <w:t xml:space="preserve">«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Описание ограничений в 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приаэродромной территории (ПАТ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)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аэродрома гражданской авиации 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Краснодар (Пашковский)</w:t>
      </w:r>
      <w:r>
        <w:rPr>
          <w:b/>
          <w:bCs/>
          <w:color w:val="000000" w:themeColor="text1"/>
          <w:shd w:val="clear" w:color="auto" w:fill="ffffff"/>
        </w:rPr>
      </w:r>
      <w:r>
        <w:rPr>
          <w:b/>
          <w:bCs/>
          <w:color w:val="000000" w:themeColor="text1"/>
          <w:shd w:val="clear" w:color="auto" w:fill="ffffff"/>
        </w:rPr>
      </w:r>
    </w:p>
    <w:p>
      <w:pPr>
        <w:pStyle w:val="1186"/>
        <w:ind w:firstLine="709"/>
        <w:jc w:val="center"/>
        <w:spacing w:before="0" w:beforeAutospacing="0" w:after="0" w:afterAutospacing="0"/>
        <w:widowControl w:val="off"/>
        <w:rPr>
          <w:b/>
          <w:bCs/>
          <w:color w:val="000000" w:themeColor="text1"/>
          <w:shd w:val="clear" w:color="auto" w:fill="ffffff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(согласно Приложения к Приказу Росавиации от 03.04.2025г. №251-П)</w:t>
      </w:r>
      <w:r>
        <w:rPr>
          <w:b/>
          <w:bCs/>
          <w:color w:val="000000" w:themeColor="text1"/>
          <w:shd w:val="clear" w:color="auto" w:fill="ffffff"/>
        </w:rPr>
      </w:r>
      <w:r>
        <w:rPr>
          <w:b/>
          <w:bCs/>
          <w:color w:val="000000" w:themeColor="text1"/>
          <w:shd w:val="clear" w:color="auto" w:fill="ffffff"/>
        </w:rPr>
      </w:r>
    </w:p>
    <w:p>
      <w:pPr>
        <w:jc w:val="both"/>
        <w:rPr>
          <w:bCs/>
          <w:color w:val="000000" w:themeColor="text1"/>
          <w:sz w:val="24"/>
          <w:szCs w:val="24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</w:r>
      <w:r>
        <w:rPr>
          <w:bCs/>
          <w:color w:val="000000" w:themeColor="text1"/>
          <w:sz w:val="24"/>
          <w:szCs w:val="24"/>
          <w:shd w:val="clear" w:color="auto" w:fill="ffffff"/>
        </w:rPr>
      </w:r>
      <w:r>
        <w:rPr>
          <w:bCs/>
          <w:color w:val="000000" w:themeColor="text1"/>
          <w:sz w:val="24"/>
          <w:szCs w:val="24"/>
          <w:shd w:val="clear" w:color="auto" w:fill="ffffff"/>
        </w:rPr>
      </w:r>
    </w:p>
    <w:p>
      <w:pPr>
        <w:jc w:val="both"/>
        <w:rPr>
          <w:bCs/>
          <w:color w:val="000000" w:themeColor="text1"/>
          <w:sz w:val="24"/>
          <w:szCs w:val="24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           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Граница приаэродромной территории аэродрома гражданской авиации Краснодар (Пашковский) установлена путем наложения границ семи подзон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.</w:t>
      </w:r>
      <w:r>
        <w:rPr>
          <w:bCs/>
          <w:color w:val="000000" w:themeColor="text1"/>
          <w:sz w:val="24"/>
          <w:szCs w:val="24"/>
          <w:shd w:val="clear" w:color="auto" w:fill="ffffff"/>
        </w:rPr>
      </w:r>
      <w:r>
        <w:rPr>
          <w:bCs/>
          <w:color w:val="000000" w:themeColor="text1"/>
          <w:sz w:val="24"/>
          <w:szCs w:val="24"/>
          <w:shd w:val="clear" w:color="auto" w:fill="ffffff"/>
        </w:rPr>
      </w:r>
    </w:p>
    <w:p>
      <w:pPr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          Графическое описание подзон в границах 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Тлюстенхабльского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городского поселения приводится 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на  </w:t>
      </w:r>
      <w:r>
        <w:rPr>
          <w:rFonts w:eastAsia="Calibri"/>
          <w:color w:val="000000" w:themeColor="text1"/>
          <w:sz w:val="28"/>
          <w:szCs w:val="28"/>
        </w:rPr>
        <w:t xml:space="preserve">Карта</w:t>
      </w:r>
      <w:r>
        <w:rPr>
          <w:rFonts w:eastAsia="Calibri"/>
          <w:color w:val="000000" w:themeColor="text1"/>
          <w:sz w:val="28"/>
          <w:szCs w:val="28"/>
        </w:rPr>
        <w:t xml:space="preserve"> градостроительных </w:t>
      </w:r>
      <w:r>
        <w:rPr>
          <w:rFonts w:eastAsia="Calibri"/>
          <w:color w:val="000000" w:themeColor="text1"/>
          <w:sz w:val="28"/>
          <w:szCs w:val="28"/>
        </w:rPr>
        <w:t xml:space="preserve">ограничений(</w:t>
      </w:r>
      <w:r>
        <w:rPr>
          <w:rFonts w:eastAsia="Calibri"/>
          <w:color w:val="000000" w:themeColor="text1"/>
          <w:sz w:val="28"/>
          <w:szCs w:val="28"/>
        </w:rPr>
        <w:t xml:space="preserve">приаэродромные территории) в составе данных Правил землепользования и застройки.</w:t>
      </w:r>
      <w:r>
        <w:rPr>
          <w:rFonts w:eastAsia="Calibri"/>
          <w:color w:val="000000" w:themeColor="text1"/>
          <w:sz w:val="24"/>
          <w:szCs w:val="24"/>
        </w:rPr>
      </w:r>
      <w:r>
        <w:rPr>
          <w:rFonts w:eastAsia="Calibri"/>
          <w:color w:val="000000" w:themeColor="text1"/>
          <w:sz w:val="24"/>
          <w:szCs w:val="24"/>
        </w:rPr>
      </w:r>
    </w:p>
    <w:p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ПОДЗОНА №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3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center"/>
        <w:rPr>
          <w:color w:val="000000" w:themeColor="text1"/>
          <w:sz w:val="28"/>
          <w:szCs w:val="28"/>
          <w:highlight w:val="none"/>
          <w:u w:val="single"/>
        </w:rPr>
      </w:pPr>
      <w:r>
        <w:rPr>
          <w:color w:val="000000" w:themeColor="text1"/>
          <w:sz w:val="28"/>
          <w:szCs w:val="28"/>
          <w:u w:val="single"/>
        </w:rPr>
        <w:t xml:space="preserve">Общая характеристика подзоны: </w:t>
      </w:r>
      <w:r>
        <w:rPr>
          <w:color w:val="000000" w:themeColor="text1"/>
          <w:sz w:val="28"/>
          <w:szCs w:val="28"/>
          <w:highlight w:val="none"/>
          <w:u w:val="single"/>
        </w:rPr>
      </w:r>
      <w:r>
        <w:rPr>
          <w:color w:val="000000" w:themeColor="text1"/>
          <w:sz w:val="28"/>
          <w:szCs w:val="28"/>
          <w:highlight w:val="none"/>
          <w:u w:val="single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Третья  подзона,  в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которой  запрещается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размещать  объекты,  высота</w:t>
      </w:r>
      <w:r>
        <w:rPr>
          <w:color w:val="000000" w:themeColor="text1"/>
          <w:sz w:val="28"/>
          <w:szCs w:val="28"/>
        </w:rPr>
        <w:t xml:space="preserve">  которых </w:t>
      </w:r>
      <w:r>
        <w:rPr>
          <w:color w:val="000000" w:themeColor="text1"/>
          <w:sz w:val="28"/>
          <w:szCs w:val="28"/>
        </w:rPr>
        <w:t xml:space="preserve">превышает  ограничения,  установленные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уполномоченным  Правительством</w:t>
      </w:r>
      <w:r>
        <w:rPr>
          <w:color w:val="000000" w:themeColor="text1"/>
          <w:sz w:val="28"/>
          <w:szCs w:val="28"/>
        </w:rPr>
        <w:t xml:space="preserve">  Российской </w:t>
      </w:r>
      <w:r>
        <w:rPr>
          <w:color w:val="000000" w:themeColor="text1"/>
          <w:sz w:val="28"/>
          <w:szCs w:val="28"/>
        </w:rPr>
        <w:t xml:space="preserve">Федерации  федеральным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органом  исполнительной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власти  при</w:t>
      </w:r>
      <w:r>
        <w:rPr>
          <w:color w:val="000000" w:themeColor="text1"/>
          <w:sz w:val="28"/>
          <w:szCs w:val="28"/>
        </w:rPr>
        <w:t xml:space="preserve">  установлении соответствующей приаэродромной территории.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Ограничения  использования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объектов  недвижимости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и  осуществления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деятельности  распространяются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на  новые</w:t>
      </w:r>
      <w:r>
        <w:rPr>
          <w:color w:val="000000" w:themeColor="text1"/>
          <w:sz w:val="28"/>
          <w:szCs w:val="28"/>
        </w:rPr>
        <w:t xml:space="preserve">  объекты/</w:t>
      </w:r>
      <w:r>
        <w:rPr>
          <w:color w:val="000000" w:themeColor="text1"/>
          <w:sz w:val="28"/>
          <w:szCs w:val="28"/>
        </w:rPr>
        <w:t xml:space="preserve">сооружения  и</w:t>
      </w:r>
      <w:r>
        <w:rPr>
          <w:color w:val="000000" w:themeColor="text1"/>
          <w:sz w:val="28"/>
          <w:szCs w:val="28"/>
        </w:rPr>
        <w:t xml:space="preserve">  реконструируемые </w:t>
      </w:r>
      <w:r>
        <w:rPr>
          <w:color w:val="000000" w:themeColor="text1"/>
          <w:sz w:val="28"/>
          <w:szCs w:val="28"/>
        </w:rPr>
        <w:t xml:space="preserve">существующие  объекты</w:t>
      </w:r>
      <w:r>
        <w:rPr>
          <w:color w:val="000000" w:themeColor="text1"/>
          <w:sz w:val="28"/>
          <w:szCs w:val="28"/>
        </w:rPr>
        <w:t xml:space="preserve">/</w:t>
      </w:r>
      <w:r>
        <w:rPr>
          <w:color w:val="000000" w:themeColor="text1"/>
          <w:sz w:val="28"/>
          <w:szCs w:val="28"/>
        </w:rPr>
        <w:t xml:space="preserve">сооружения,  высота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которых  не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должна  превышать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установленные  ограничения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в  границах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поверхностей  ограничения</w:t>
      </w:r>
      <w:r>
        <w:rPr>
          <w:color w:val="000000" w:themeColor="text1"/>
          <w:sz w:val="28"/>
          <w:szCs w:val="28"/>
        </w:rPr>
        <w:t xml:space="preserve">  препятствий, установленных для аэродрома.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Устанавливаемые  в 3-й  подзоне  ограничения  использования  объ</w:t>
      </w:r>
      <w:r>
        <w:rPr>
          <w:color w:val="000000" w:themeColor="text1"/>
          <w:sz w:val="28"/>
          <w:szCs w:val="28"/>
        </w:rPr>
        <w:t xml:space="preserve">ектов недвижимости  и  осуществления  деятельности  не  распространяются  на  существующие объекты  капитального  строительства,  проектирование,  строительство,  реконструкция которых были согласованы собственником аэродрома и(или) уполномоченным органом </w:t>
      </w:r>
      <w:r>
        <w:rPr>
          <w:color w:val="000000" w:themeColor="text1"/>
          <w:sz w:val="28"/>
          <w:szCs w:val="28"/>
        </w:rPr>
        <w:t xml:space="preserve">государственной власти, осуществляющим полномочия собственника аэродрома, а также земельные  участки  и(или) расположенные  на  них  объекты  недвижимости,  права  на которые возникли у граждан и юридических лиц до вступления в силу Федерального закона  от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1  июля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2017  года  №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135-ФЗ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«О  внесении  изменений  в  отдельные законодательные  акты  Российской  Федерации  в  части  совершенствования  порядка установления и использования приаэродромной территории и санитарно-защитной зоны».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В  случае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если  объект</w:t>
      </w:r>
      <w:r>
        <w:rPr>
          <w:color w:val="000000" w:themeColor="text1"/>
          <w:sz w:val="28"/>
          <w:szCs w:val="28"/>
        </w:rPr>
        <w:t xml:space="preserve">/</w:t>
      </w:r>
      <w:r>
        <w:rPr>
          <w:color w:val="000000" w:themeColor="text1"/>
          <w:sz w:val="28"/>
          <w:szCs w:val="28"/>
        </w:rPr>
        <w:t xml:space="preserve">сооружение  расположен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в  границах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нескольких  подзон</w:t>
      </w:r>
      <w:r>
        <w:rPr>
          <w:color w:val="000000" w:themeColor="text1"/>
          <w:sz w:val="28"/>
          <w:szCs w:val="28"/>
        </w:rPr>
        <w:t xml:space="preserve"> с высотными ограничениями, то применению подлежат более строгие значения.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В границах третьей подзоны запрещается размещать объекты, высота которых превышает ограничения, приведенные в </w:t>
      </w:r>
      <w:r>
        <w:rPr>
          <w:i/>
          <w:iCs/>
          <w:color w:val="000000" w:themeColor="text1"/>
          <w:sz w:val="28"/>
          <w:szCs w:val="28"/>
          <w:u w:val="single"/>
        </w:rPr>
        <w:t xml:space="preserve">таблице №1</w:t>
      </w:r>
      <w:r>
        <w:rPr>
          <w:color w:val="000000" w:themeColor="text1"/>
          <w:sz w:val="28"/>
          <w:szCs w:val="28"/>
        </w:rPr>
        <w:t xml:space="preserve">, согласно секции, относительно которой располагается объект.</w:t>
      </w:r>
      <w:r>
        <w:rPr>
          <w:color w:val="000000" w:themeColor="text1"/>
          <w:sz w:val="28"/>
          <w:szCs w:val="28"/>
        </w:rPr>
        <w:t xml:space="preserve"> Строительство и реконструкция зданий или сооружений в границах третей подзоны разрешается после определения максимально допустимой высоты здания или сооружения в зависимости от мес</w:t>
      </w:r>
      <w:r>
        <w:rPr>
          <w:color w:val="000000" w:themeColor="text1"/>
          <w:sz w:val="28"/>
          <w:szCs w:val="28"/>
        </w:rPr>
        <w:t xml:space="preserve">тоположения путем проведения соответствующих расчетов в соответствии с требованиями ФАП-262 с учетом абсолютных высот ограничения объектов в Балтийской системе высот 1977 года (Постановление Правительства Российской Федерации № 1240 от 24 ноября 2016 года)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center"/>
        <w:rPr>
          <w:b/>
          <w:bCs/>
          <w:color w:val="000000" w:themeColor="text1"/>
          <w:sz w:val="26"/>
          <w:szCs w:val="26"/>
          <w:u w:val="single"/>
        </w:rPr>
      </w:pPr>
      <w:r>
        <w:rPr>
          <w:b/>
          <w:bCs/>
          <w:color w:val="000000" w:themeColor="text1"/>
          <w:sz w:val="26"/>
          <w:szCs w:val="26"/>
          <w:u w:val="single"/>
        </w:rPr>
        <w:t xml:space="preserve">Таблица № 1. Ограничение по высоте в границах приаэродромной территории (ПАТ)</w:t>
      </w:r>
      <w:r>
        <w:rPr>
          <w:b/>
          <w:bCs/>
          <w:color w:val="000000" w:themeColor="text1"/>
          <w:sz w:val="26"/>
          <w:szCs w:val="26"/>
          <w:u w:val="single"/>
        </w:rPr>
      </w:r>
      <w:r>
        <w:rPr>
          <w:b/>
          <w:bCs/>
          <w:color w:val="000000" w:themeColor="text1"/>
          <w:sz w:val="26"/>
          <w:szCs w:val="26"/>
          <w:u w:val="single"/>
        </w:rPr>
      </w:r>
    </w:p>
    <w:tbl>
      <w:tblPr>
        <w:tblW w:w="8200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3829"/>
        <w:gridCol w:w="2171"/>
      </w:tblGrid>
      <w:tr>
        <w:tblPrEx/>
        <w:trPr>
          <w:jc w:val="center"/>
          <w:trHeight w:val="55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Номер сектора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0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Диапазон допустимых максимальных абсолютных отметок верха объекта/сооружения, м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bottom"/>
            <w:textDirection w:val="lrTb"/>
            <w:noWrap/>
          </w:tcPr>
          <w:p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от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bottom"/>
            <w:textDirection w:val="lrTb"/>
            <w:noWrap/>
          </w:tcPr>
          <w:p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до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 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 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9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19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20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21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22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23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24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25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26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27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28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29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31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32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33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34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35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36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37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38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39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99,2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41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42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43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44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45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46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47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48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49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51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52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53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54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56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57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58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59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61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62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63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64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66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67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68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69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71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96,13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72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73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74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76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77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78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79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81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82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83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84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85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86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87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88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89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145,65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90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91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92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93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94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95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96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97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145,65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98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99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102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103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104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105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36,43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106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107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108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109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110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111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112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113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114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115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34,33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116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117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118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119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120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121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122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123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124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125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126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127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128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129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131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132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133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134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34,33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135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136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137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138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139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141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142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143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7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144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 уровня земли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145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без высотных ограничений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jc w:val="center"/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Сектор 146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1186"/>
        <w:jc w:val="both"/>
        <w:spacing w:before="0" w:beforeAutospacing="0" w:after="0" w:afterAutospacing="0"/>
        <w:widowControl w:val="off"/>
        <w:rPr>
          <w:b/>
          <w:bCs/>
          <w:color w:val="000000" w:themeColor="text1"/>
          <w:shd w:val="clear" w:color="auto" w:fill="ffffff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Допустимые максимальные абсолютные отметки верха объекта/сооружения указаны в Балтийской системе высот 1977 г.</w:t>
      </w:r>
      <w:r>
        <w:rPr>
          <w:b/>
          <w:bCs/>
          <w:color w:val="000000" w:themeColor="text1"/>
          <w:shd w:val="clear" w:color="auto" w:fill="ffffff"/>
        </w:rPr>
      </w:r>
      <w:r>
        <w:rPr>
          <w:b/>
          <w:bCs/>
          <w:color w:val="000000" w:themeColor="text1"/>
          <w:shd w:val="clear" w:color="auto" w:fill="ffffff"/>
        </w:rPr>
      </w:r>
    </w:p>
    <w:p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ПОДЗОНА №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4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center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  <w:u w:val="single"/>
        </w:rPr>
        <w:t xml:space="preserve">Общая характеристика подзоны</w:t>
      </w:r>
      <w:r>
        <w:rPr>
          <w:color w:val="000000" w:themeColor="text1"/>
          <w:sz w:val="24"/>
          <w:szCs w:val="24"/>
          <w:u w:val="single"/>
        </w:rPr>
      </w:r>
      <w:r>
        <w:rPr>
          <w:color w:val="000000" w:themeColor="text1"/>
          <w:sz w:val="24"/>
          <w:szCs w:val="24"/>
          <w:u w:val="single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Четвертая  подзона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это  подзона,  в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которой  запрещается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размещать  объекты</w:t>
      </w:r>
      <w:r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создающие  помехи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в  работе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наземных  объектов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средств  и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систем  обслуживания</w:t>
      </w:r>
      <w:r>
        <w:rPr>
          <w:color w:val="000000" w:themeColor="text1"/>
          <w:sz w:val="28"/>
          <w:szCs w:val="28"/>
        </w:rPr>
        <w:t xml:space="preserve"> воздушного движения, навигации, посадки и связи, предназначенных для организации воздушного движения и расположенных вне первой подзоны.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Обоснование  ограничений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использования  объектов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недвижимости  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осуществления деятельности в четвертой подзоне: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 xml:space="preserve">о</w:t>
      </w:r>
      <w:r>
        <w:rPr>
          <w:color w:val="000000" w:themeColor="text1"/>
          <w:sz w:val="28"/>
          <w:szCs w:val="28"/>
        </w:rPr>
        <w:t xml:space="preserve">граничения  использования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объектов  недвижимости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и  осуществления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деятельности распространяются на объекты, которые могут создавать помехи в работе наземных объектов средств и систем обслуживания воздушного движения, навигации, </w:t>
      </w:r>
      <w:r>
        <w:rPr>
          <w:color w:val="000000" w:themeColor="text1"/>
          <w:sz w:val="28"/>
          <w:szCs w:val="28"/>
        </w:rPr>
        <w:t xml:space="preserve">посадки  и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связи,  предназначенных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для  организации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воздушного  движения</w:t>
      </w:r>
      <w:r>
        <w:rPr>
          <w:color w:val="000000" w:themeColor="text1"/>
          <w:sz w:val="28"/>
          <w:szCs w:val="28"/>
        </w:rPr>
        <w:t xml:space="preserve">  и расположенных вне первой подзоны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Запрещается  проектирование,  строительство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новых  объектов,  реконструкция</w:t>
      </w:r>
      <w:r>
        <w:rPr>
          <w:color w:val="000000" w:themeColor="text1"/>
          <w:sz w:val="28"/>
          <w:szCs w:val="28"/>
        </w:rPr>
        <w:t xml:space="preserve"> существующих объектов, в случае превышения допустимых максимальных абсолютных отметок верха объекта, указанных на сводном плане ограничения высотных препятствий 4-ой подзоны приаэродромной территории</w:t>
      </w:r>
      <w:r>
        <w:rPr>
          <w:color w:val="000000" w:themeColor="text1"/>
          <w:sz w:val="28"/>
          <w:szCs w:val="28"/>
        </w:rPr>
        <w:t xml:space="preserve"> – </w:t>
      </w:r>
      <w:r>
        <w:rPr>
          <w:i/>
          <w:iCs/>
          <w:color w:val="000000" w:themeColor="text1"/>
          <w:sz w:val="28"/>
          <w:szCs w:val="28"/>
          <w:u w:val="single"/>
        </w:rPr>
        <w:t xml:space="preserve">пункт 12.4 Приложения</w:t>
      </w:r>
      <w:r>
        <w:rPr>
          <w:i/>
          <w:iCs/>
          <w:color w:val="000000" w:themeColor="text1"/>
          <w:sz w:val="28"/>
          <w:szCs w:val="28"/>
          <w:u w:val="single"/>
        </w:rPr>
        <w:t xml:space="preserve"> к Приказу Росавиации № 251-П от 03.04.2025года.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Размещение  любых  объектов/сооружений,  превышающих  разрешенную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максимальную высоту строения, допускается при наличии одобрения Кубанского центра ОВД  филиала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«Аэронавигация  Юга»  ФГУП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«Госкорпорация  по  ОрВД»  по  предоставлению  застройщиком  </w:t>
      </w:r>
      <w:r>
        <w:rPr>
          <w:color w:val="000000" w:themeColor="text1"/>
          <w:sz w:val="28"/>
          <w:szCs w:val="28"/>
        </w:rPr>
        <w:t xml:space="preserve">заключения  об  отсутствии  влияния  планируемого к  размещению  объекта/сооружения  на  безопасность  полетов  и  работу  средств радиотехнического  обеспечения  полетов  и  авиационной  электросвязи,  выдаваемого научной организацией гражданской авиации.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ПОДЗОНА №5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center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  <w:u w:val="single"/>
        </w:rPr>
        <w:t xml:space="preserve">Общая характеристика подзоны</w:t>
      </w:r>
      <w:r>
        <w:rPr>
          <w:color w:val="000000" w:themeColor="text1"/>
          <w:sz w:val="28"/>
          <w:szCs w:val="28"/>
          <w:u w:val="single"/>
        </w:rPr>
        <w:t xml:space="preserve">.</w:t>
      </w:r>
      <w:r>
        <w:rPr>
          <w:color w:val="000000" w:themeColor="text1"/>
          <w:sz w:val="24"/>
          <w:szCs w:val="24"/>
          <w:u w:val="single"/>
        </w:rPr>
      </w:r>
      <w:r>
        <w:rPr>
          <w:color w:val="000000" w:themeColor="text1"/>
          <w:sz w:val="24"/>
          <w:szCs w:val="24"/>
          <w:u w:val="single"/>
        </w:rPr>
      </w:r>
    </w:p>
    <w:p>
      <w:pPr>
        <w:ind w:left="0" w:right="0" w:firstLine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Пятая  подзона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это  подзона,  в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которой  запрещается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размещать  опасные</w:t>
      </w:r>
      <w:r>
        <w:rPr>
          <w:color w:val="000000" w:themeColor="text1"/>
          <w:sz w:val="28"/>
          <w:szCs w:val="28"/>
        </w:rPr>
        <w:t xml:space="preserve"> производственные объекты, определенные </w:t>
      </w:r>
      <w:r>
        <w:rPr>
          <w:color w:val="000000" w:themeColor="text1"/>
          <w:sz w:val="28"/>
          <w:szCs w:val="28"/>
        </w:rPr>
        <w:t xml:space="preserve">ФЗ«</w:t>
      </w:r>
      <w:r>
        <w:rPr>
          <w:color w:val="000000" w:themeColor="text1"/>
          <w:sz w:val="28"/>
          <w:szCs w:val="28"/>
        </w:rPr>
        <w:t xml:space="preserve">О промышленной безопасности опасных </w:t>
      </w:r>
      <w:r>
        <w:rPr>
          <w:color w:val="000000" w:themeColor="text1"/>
          <w:sz w:val="28"/>
          <w:szCs w:val="28"/>
        </w:rPr>
        <w:t xml:space="preserve">производственных  объектов»,  функционирование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которых  может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повлиять  на</w:t>
      </w:r>
      <w:r>
        <w:rPr>
          <w:color w:val="000000" w:themeColor="text1"/>
          <w:sz w:val="28"/>
          <w:szCs w:val="28"/>
        </w:rPr>
        <w:t xml:space="preserve"> безопасность полетов воздушных судов.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Обоснование  ограничений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использования  объектов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недвижимости  и</w:t>
      </w:r>
      <w:r>
        <w:rPr>
          <w:color w:val="000000" w:themeColor="text1"/>
          <w:sz w:val="28"/>
          <w:szCs w:val="28"/>
        </w:rPr>
        <w:t xml:space="preserve"> осуществления деятельности в пятой подзоне: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В  границах  пятой  подзоны  запрещается  размещать  проектировать,  строить, реконструировать  опасные  производственные  объекты,  определенные  Федеральным </w:t>
      </w:r>
      <w:r>
        <w:rPr>
          <w:color w:val="000000" w:themeColor="text1"/>
          <w:sz w:val="28"/>
          <w:szCs w:val="28"/>
        </w:rPr>
        <w:t xml:space="preserve">законом«О</w:t>
      </w:r>
      <w:r>
        <w:rPr>
          <w:color w:val="000000" w:themeColor="text1"/>
          <w:sz w:val="28"/>
          <w:szCs w:val="28"/>
        </w:rPr>
        <w:t xml:space="preserve"> промышленной безопасности опасных производственных объектов», а именно опасные производственные объекты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I, II, III, IV класса– предприятия и их цеха, участки, площадки,  функционирование  которых  может  повлиять  на  безопасность  полетов воздушных судов: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a</w:t>
      </w:r>
      <w:r>
        <w:rPr>
          <w:color w:val="000000" w:themeColor="text1"/>
          <w:sz w:val="28"/>
          <w:szCs w:val="28"/>
        </w:rPr>
        <w:t xml:space="preserve">)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на  которых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получаются,  используются,  перерабатываются,  образуются, 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хранятся</w:t>
      </w:r>
      <w:r>
        <w:rPr>
          <w:color w:val="000000" w:themeColor="text1"/>
          <w:sz w:val="28"/>
          <w:szCs w:val="28"/>
        </w:rPr>
        <w:t xml:space="preserve">, транспортируются, уничтожаются опасные вещества следующих видов: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6"/>
        </w:numPr>
        <w:ind w:righ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воспламеняющиеся</w:t>
      </w:r>
      <w:r>
        <w:rPr>
          <w:color w:val="000000" w:themeColor="text1"/>
          <w:sz w:val="28"/>
          <w:szCs w:val="28"/>
        </w:rPr>
        <w:t xml:space="preserve"> вещества;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6"/>
        </w:numPr>
        <w:ind w:righ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окисляющие</w:t>
      </w:r>
      <w:r>
        <w:rPr>
          <w:color w:val="000000" w:themeColor="text1"/>
          <w:sz w:val="28"/>
          <w:szCs w:val="28"/>
        </w:rPr>
        <w:t xml:space="preserve"> вещества;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6"/>
        </w:numPr>
        <w:ind w:righ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горючие</w:t>
      </w:r>
      <w:r>
        <w:rPr>
          <w:color w:val="000000" w:themeColor="text1"/>
          <w:sz w:val="28"/>
          <w:szCs w:val="28"/>
        </w:rPr>
        <w:t xml:space="preserve"> вещества;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6"/>
        </w:numPr>
        <w:ind w:righ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взрывчатые</w:t>
      </w:r>
      <w:r>
        <w:rPr>
          <w:color w:val="000000" w:themeColor="text1"/>
          <w:sz w:val="28"/>
          <w:szCs w:val="28"/>
        </w:rPr>
        <w:t xml:space="preserve"> вещества;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6"/>
        </w:numPr>
        <w:ind w:righ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токсичные</w:t>
      </w:r>
      <w:r>
        <w:rPr>
          <w:color w:val="000000" w:themeColor="text1"/>
          <w:sz w:val="28"/>
          <w:szCs w:val="28"/>
        </w:rPr>
        <w:t xml:space="preserve"> вещества: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6"/>
        </w:numPr>
        <w:ind w:righ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высокотоксичные</w:t>
      </w:r>
      <w:r>
        <w:rPr>
          <w:color w:val="000000" w:themeColor="text1"/>
          <w:sz w:val="28"/>
          <w:szCs w:val="28"/>
        </w:rPr>
        <w:t xml:space="preserve"> вещества;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6"/>
        </w:numPr>
        <w:ind w:righ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вещества</w:t>
      </w:r>
      <w:r>
        <w:rPr>
          <w:color w:val="000000" w:themeColor="text1"/>
          <w:sz w:val="28"/>
          <w:szCs w:val="28"/>
        </w:rPr>
        <w:t xml:space="preserve">, представляющие опасность для окружающей среды;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b</w:t>
      </w:r>
      <w:r>
        <w:rPr>
          <w:color w:val="000000" w:themeColor="text1"/>
          <w:sz w:val="28"/>
          <w:szCs w:val="28"/>
        </w:rPr>
        <w:t xml:space="preserve">)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используется  оборудование,  работающее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под  избыточным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давлением  более</w:t>
      </w:r>
      <w:r>
        <w:rPr>
          <w:color w:val="000000" w:themeColor="text1"/>
          <w:sz w:val="28"/>
          <w:szCs w:val="28"/>
        </w:rPr>
        <w:t xml:space="preserve"> 0,07 </w:t>
      </w:r>
      <w:r>
        <w:rPr>
          <w:color w:val="000000" w:themeColor="text1"/>
          <w:sz w:val="28"/>
          <w:szCs w:val="28"/>
        </w:rPr>
        <w:t xml:space="preserve">мегапаскаля</w:t>
      </w:r>
      <w:r>
        <w:rPr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7"/>
        </w:numPr>
        <w:ind w:righ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пара</w:t>
      </w:r>
      <w:r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газа(</w:t>
      </w:r>
      <w:r>
        <w:rPr>
          <w:color w:val="000000" w:themeColor="text1"/>
          <w:sz w:val="28"/>
          <w:szCs w:val="28"/>
        </w:rPr>
        <w:t xml:space="preserve">в газообразном, сжиженном состоянии);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7"/>
        </w:numPr>
        <w:ind w:righ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воды</w:t>
      </w:r>
      <w:r>
        <w:rPr>
          <w:color w:val="000000" w:themeColor="text1"/>
          <w:sz w:val="28"/>
          <w:szCs w:val="28"/>
        </w:rPr>
        <w:t xml:space="preserve"> при температуре нагрева более115 градусов Цельсия;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7"/>
        </w:numPr>
        <w:ind w:righ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иных</w:t>
      </w:r>
      <w:r>
        <w:rPr>
          <w:color w:val="000000" w:themeColor="text1"/>
          <w:sz w:val="28"/>
          <w:szCs w:val="28"/>
        </w:rPr>
        <w:t xml:space="preserve"> жидкостей при температуре, превышающей температуру их кипения при избыточном давлении0,07 </w:t>
      </w:r>
      <w:r>
        <w:rPr>
          <w:color w:val="000000" w:themeColor="text1"/>
          <w:sz w:val="28"/>
          <w:szCs w:val="28"/>
        </w:rPr>
        <w:t xml:space="preserve">мегапаскаля</w:t>
      </w:r>
      <w:r>
        <w:rPr>
          <w:color w:val="000000" w:themeColor="text1"/>
          <w:sz w:val="28"/>
          <w:szCs w:val="28"/>
        </w:rPr>
        <w:t xml:space="preserve">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c</w:t>
      </w:r>
      <w:r>
        <w:rPr>
          <w:color w:val="000000" w:themeColor="text1"/>
          <w:sz w:val="28"/>
          <w:szCs w:val="28"/>
        </w:rPr>
        <w:t xml:space="preserve">)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используются  стационарно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установленные  грузоподъемные</w:t>
      </w:r>
      <w:r>
        <w:rPr>
          <w:color w:val="000000" w:themeColor="text1"/>
          <w:sz w:val="28"/>
          <w:szCs w:val="28"/>
        </w:rPr>
        <w:t xml:space="preserve">  механизмы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(</w:t>
      </w:r>
      <w:r>
        <w:rPr>
          <w:color w:val="000000" w:themeColor="text1"/>
          <w:sz w:val="28"/>
          <w:szCs w:val="28"/>
        </w:rPr>
        <w:t xml:space="preserve">за  исключением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лифтов,  подъемных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платформ  для</w:t>
      </w:r>
      <w:r>
        <w:rPr>
          <w:color w:val="000000" w:themeColor="text1"/>
          <w:sz w:val="28"/>
          <w:szCs w:val="28"/>
        </w:rPr>
        <w:t xml:space="preserve">  инвалидов</w:t>
      </w:r>
      <w:r>
        <w:rPr>
          <w:color w:val="000000" w:themeColor="text1"/>
          <w:sz w:val="28"/>
          <w:szCs w:val="28"/>
        </w:rPr>
        <w:t xml:space="preserve">),  эскалаторы</w:t>
      </w:r>
      <w:r>
        <w:rPr>
          <w:color w:val="000000" w:themeColor="text1"/>
          <w:sz w:val="28"/>
          <w:szCs w:val="28"/>
        </w:rPr>
        <w:t xml:space="preserve">  в метрополитенах, канатные дороги, фуникулеры;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d</w:t>
      </w:r>
      <w:r>
        <w:rPr>
          <w:color w:val="000000" w:themeColor="text1"/>
          <w:sz w:val="28"/>
          <w:szCs w:val="28"/>
        </w:rPr>
        <w:t xml:space="preserve">)</w:t>
      </w:r>
      <w:r>
        <w:rPr>
          <w:color w:val="000000" w:themeColor="text1"/>
          <w:sz w:val="28"/>
          <w:szCs w:val="28"/>
        </w:rPr>
        <w:t xml:space="preserve">  получаются, транспортируются, используются расплавы черных и цветных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металлов, сплавы на основе этих расплавов с применением оборудования, рассчитанного на максимальное количество расплава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500 килограммов и более;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e</w:t>
      </w:r>
      <w:r>
        <w:rPr>
          <w:color w:val="000000" w:themeColor="text1"/>
          <w:sz w:val="28"/>
          <w:szCs w:val="28"/>
        </w:rPr>
        <w:t xml:space="preserve">)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ведутся  горные</w:t>
      </w:r>
      <w:r>
        <w:rPr>
          <w:color w:val="000000" w:themeColor="text1"/>
          <w:sz w:val="28"/>
          <w:szCs w:val="28"/>
        </w:rPr>
        <w:t xml:space="preserve">  работы (</w:t>
      </w:r>
      <w:r>
        <w:rPr>
          <w:color w:val="000000" w:themeColor="text1"/>
          <w:sz w:val="28"/>
          <w:szCs w:val="28"/>
        </w:rPr>
        <w:t xml:space="preserve">за  исключением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добычи  общераспространенных</w:t>
      </w:r>
      <w:r>
        <w:rPr>
          <w:color w:val="000000" w:themeColor="text1"/>
          <w:sz w:val="28"/>
          <w:szCs w:val="28"/>
        </w:rPr>
        <w:t xml:space="preserve"> полезных ископаемых и разработки россыпных месторождений полезных ископаемых, </w:t>
      </w:r>
      <w:r>
        <w:rPr>
          <w:color w:val="000000" w:themeColor="text1"/>
          <w:sz w:val="28"/>
          <w:szCs w:val="28"/>
        </w:rPr>
        <w:t xml:space="preserve">осуществляемых  открытым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способом  без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применения  взрывных</w:t>
      </w:r>
      <w:r>
        <w:rPr>
          <w:color w:val="000000" w:themeColor="text1"/>
          <w:sz w:val="28"/>
          <w:szCs w:val="28"/>
        </w:rPr>
        <w:t xml:space="preserve">  работ</w:t>
      </w:r>
      <w:r>
        <w:rPr>
          <w:color w:val="000000" w:themeColor="text1"/>
          <w:sz w:val="28"/>
          <w:szCs w:val="28"/>
        </w:rPr>
        <w:t xml:space="preserve">),  работы</w:t>
      </w:r>
      <w:r>
        <w:rPr>
          <w:color w:val="000000" w:themeColor="text1"/>
          <w:sz w:val="28"/>
          <w:szCs w:val="28"/>
        </w:rPr>
        <w:t xml:space="preserve">  по обогащению полезных ископаемых;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f</w:t>
      </w:r>
      <w:r>
        <w:rPr>
          <w:color w:val="000000" w:themeColor="text1"/>
          <w:sz w:val="28"/>
          <w:szCs w:val="28"/>
        </w:rPr>
        <w:t xml:space="preserve">)</w:t>
      </w:r>
      <w:r>
        <w:rPr>
          <w:color w:val="000000" w:themeColor="text1"/>
          <w:sz w:val="28"/>
          <w:szCs w:val="28"/>
        </w:rPr>
        <w:t xml:space="preserve">  осуществляется хранение или переработка растительного сырья, в процессе которых образуются взрывоопасные пылевоздушные смеси, способные самовозгораться, возгораться от источника зажигания и самостоятельно гореть после его удаления, а также </w:t>
      </w:r>
      <w:r>
        <w:rPr>
          <w:color w:val="000000" w:themeColor="text1"/>
          <w:sz w:val="28"/>
          <w:szCs w:val="28"/>
        </w:rPr>
        <w:t xml:space="preserve">осуществляется  хранение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зерна,  продуктов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его  переработки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и  комбикормового</w:t>
      </w:r>
      <w:r>
        <w:rPr>
          <w:color w:val="000000" w:themeColor="text1"/>
          <w:sz w:val="28"/>
          <w:szCs w:val="28"/>
        </w:rPr>
        <w:t xml:space="preserve">  сырья, склонных к самосогреванию и самовозгоранию.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Запрещается  проектирование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и  строительство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новых  и</w:t>
      </w:r>
      <w:r>
        <w:rPr>
          <w:color w:val="000000" w:themeColor="text1"/>
          <w:sz w:val="28"/>
          <w:szCs w:val="28"/>
        </w:rPr>
        <w:t xml:space="preserve">  реконструкция </w:t>
      </w:r>
      <w:r>
        <w:rPr>
          <w:color w:val="000000" w:themeColor="text1"/>
          <w:sz w:val="28"/>
          <w:szCs w:val="28"/>
        </w:rPr>
        <w:t xml:space="preserve">существующих  опасных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производственных  объектов,  максимальный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радиус  зон</w:t>
      </w:r>
      <w:r>
        <w:rPr>
          <w:color w:val="000000" w:themeColor="text1"/>
          <w:sz w:val="28"/>
          <w:szCs w:val="28"/>
        </w:rPr>
        <w:t xml:space="preserve"> поражения от которых, в случаях происшествий техногенного характера, может оказать влияние на безопасность полетов воздушных судов.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Зоны  поражения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от  опасных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производственных  объектов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в  случаях</w:t>
      </w:r>
      <w:r>
        <w:rPr>
          <w:color w:val="000000" w:themeColor="text1"/>
          <w:sz w:val="28"/>
          <w:szCs w:val="28"/>
        </w:rPr>
        <w:t xml:space="preserve"> происшествий техногенного характера не должны пересекать поверхности ограничения препятствий, устанавливаемые для </w:t>
      </w:r>
      <w:r>
        <w:rPr>
          <w:color w:val="000000" w:themeColor="text1"/>
          <w:sz w:val="28"/>
          <w:szCs w:val="28"/>
        </w:rPr>
        <w:t xml:space="preserve">аэродрома(</w:t>
      </w:r>
      <w:r>
        <w:rPr>
          <w:color w:val="000000" w:themeColor="text1"/>
          <w:sz w:val="28"/>
          <w:szCs w:val="28"/>
        </w:rPr>
        <w:t xml:space="preserve">подзона №3)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         Максимальные радиусы зон поражения при происшествии техногенного характера на опасных производственных объектах, находящихся в пятой подзоне, в которых размещение таких объектов возможно, не должны достигать: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        по вертикали – высоты пролета воздушных </w:t>
      </w:r>
      <w:r>
        <w:rPr>
          <w:color w:val="000000" w:themeColor="text1"/>
          <w:sz w:val="28"/>
          <w:szCs w:val="28"/>
        </w:rPr>
        <w:t xml:space="preserve">судов(</w:t>
      </w:r>
      <w:r>
        <w:rPr>
          <w:color w:val="000000" w:themeColor="text1"/>
          <w:sz w:val="28"/>
          <w:szCs w:val="28"/>
        </w:rPr>
        <w:t xml:space="preserve">высота поверхности ограничения препятствий в третьей подзоне);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        по горизонтали – внешних границ первой и второй подзон.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     </w:t>
      </w:r>
      <w:r>
        <w:rPr>
          <w:color w:val="000000" w:themeColor="text1"/>
          <w:sz w:val="28"/>
          <w:szCs w:val="28"/>
        </w:rPr>
        <w:t xml:space="preserve">   При невозможности соблюдения вышеуказанных ограничений, размещение опасных производственных объектов должно выполняться на основании обоснования безопасности опасного производственного объекта, разрабатываемого на основании Федерального Закона № 116-ФЗ.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      </w:t>
      </w:r>
      <w:r>
        <w:rPr>
          <w:color w:val="000000" w:themeColor="text1"/>
          <w:sz w:val="28"/>
          <w:szCs w:val="28"/>
        </w:rPr>
        <w:t xml:space="preserve">Ограничения  не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распространяются  на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уже  существующие</w:t>
      </w:r>
      <w:r>
        <w:rPr>
          <w:color w:val="000000" w:themeColor="text1"/>
          <w:sz w:val="28"/>
          <w:szCs w:val="28"/>
        </w:rPr>
        <w:t xml:space="preserve">  опасные </w:t>
      </w:r>
      <w:r>
        <w:rPr>
          <w:color w:val="000000" w:themeColor="text1"/>
          <w:sz w:val="28"/>
          <w:szCs w:val="28"/>
        </w:rPr>
        <w:t xml:space="preserve">производственные  объекты,  построенные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и  размещенные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в  соответствии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с  нормами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действующего  законодательства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на  дату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ввода  в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эксплуатацию  ранее</w:t>
      </w:r>
      <w:r>
        <w:rPr>
          <w:color w:val="000000" w:themeColor="text1"/>
          <w:sz w:val="28"/>
          <w:szCs w:val="28"/>
        </w:rPr>
        <w:t xml:space="preserve">  размещенных опасных производственных объектов при условии не нарушения безопасности полетов (наличии декларации промышленной безопасности).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ПОДЗОНА №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6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center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  <w:u w:val="single"/>
        </w:rPr>
        <w:t xml:space="preserve">Общая характеристика подзоны:</w:t>
      </w:r>
      <w:r>
        <w:rPr>
          <w:color w:val="000000" w:themeColor="text1"/>
          <w:sz w:val="24"/>
          <w:szCs w:val="24"/>
          <w:u w:val="single"/>
        </w:rPr>
      </w:r>
      <w:r>
        <w:rPr>
          <w:color w:val="000000" w:themeColor="text1"/>
          <w:sz w:val="24"/>
          <w:szCs w:val="24"/>
          <w:u w:val="single"/>
        </w:rPr>
      </w:r>
    </w:p>
    <w:p>
      <w:pPr>
        <w:ind w:left="0" w:right="0"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Шестая  подзона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это  подзона,  в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которой  запрещается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размещать  объекты</w:t>
      </w:r>
      <w:r>
        <w:rPr>
          <w:color w:val="000000" w:themeColor="text1"/>
          <w:sz w:val="28"/>
          <w:szCs w:val="28"/>
        </w:rPr>
        <w:t xml:space="preserve">, способствующие привлечению и массовому скоплению птиц.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Обоснование  ограничений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использования  объектов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недвижимостии</w:t>
      </w:r>
      <w:r>
        <w:rPr>
          <w:color w:val="000000" w:themeColor="text1"/>
          <w:sz w:val="28"/>
          <w:szCs w:val="28"/>
        </w:rPr>
        <w:t xml:space="preserve"> осуществления деятельности в шестой подзоне: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Запрещается размещать объекты, способствующие привлечению и скоплению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птиц, в том числе: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0"/>
        </w:numPr>
        <w:ind w:right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звероводческие</w:t>
      </w:r>
      <w:r>
        <w:rPr>
          <w:color w:val="000000" w:themeColor="text1"/>
          <w:sz w:val="28"/>
          <w:szCs w:val="28"/>
        </w:rPr>
        <w:t xml:space="preserve"> фермы, скотобойни;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0"/>
        </w:numPr>
        <w:ind w:right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подсобные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хозяйства(свинарники,  коровники,  птицефермы,  зверофермы</w:t>
      </w:r>
      <w:r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0"/>
        </w:numPr>
        <w:ind w:right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рыбные пруды);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0"/>
        </w:numPr>
        <w:ind w:right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места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концентрированных  выбросов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пищевых  отходов,  свалки</w:t>
      </w:r>
      <w:r>
        <w:rPr>
          <w:color w:val="000000" w:themeColor="text1"/>
          <w:sz w:val="28"/>
          <w:szCs w:val="28"/>
        </w:rPr>
        <w:t xml:space="preserve">  пищевых </w:t>
      </w:r>
      <w:r>
        <w:rPr>
          <w:color w:val="000000" w:themeColor="text1"/>
          <w:sz w:val="28"/>
          <w:szCs w:val="28"/>
        </w:rPr>
        <w:t xml:space="preserve">отходов;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0"/>
        </w:numPr>
        <w:ind w:right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новые</w:t>
      </w:r>
      <w:r>
        <w:rPr>
          <w:color w:val="000000" w:themeColor="text1"/>
          <w:sz w:val="28"/>
          <w:szCs w:val="28"/>
        </w:rPr>
        <w:t xml:space="preserve"> водоемы, реки, болота; ъ</w:t>
      </w:r>
      <w:r>
        <w:rPr>
          <w:color w:val="000000" w:themeColor="text1"/>
          <w:sz w:val="28"/>
          <w:szCs w:val="28"/>
        </w:rPr>
        <w:t xml:space="preserve">мусоросжигательные</w:t>
      </w:r>
      <w:r>
        <w:rPr>
          <w:color w:val="000000" w:themeColor="text1"/>
          <w:sz w:val="28"/>
          <w:szCs w:val="28"/>
        </w:rPr>
        <w:t xml:space="preserve"> и мусороперерабатывающие заводы, объекты сортировки </w:t>
      </w:r>
      <w:r>
        <w:rPr>
          <w:color w:val="000000" w:themeColor="text1"/>
          <w:sz w:val="28"/>
          <w:szCs w:val="28"/>
        </w:rPr>
        <w:t xml:space="preserve">мусора.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Запрещается  осуществлять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деятельность,  способствующую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привлечению  и</w:t>
      </w:r>
      <w:r>
        <w:rPr>
          <w:color w:val="000000" w:themeColor="text1"/>
          <w:sz w:val="28"/>
          <w:szCs w:val="28"/>
        </w:rPr>
        <w:t xml:space="preserve"> массовому скоплению птиц, в том числе: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1"/>
        </w:numPr>
        <w:ind w:righ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вспашка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и  перепахивание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сельскохозяйственных  полей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с  зерновыми </w:t>
      </w:r>
      <w:r>
        <w:rPr>
          <w:color w:val="000000" w:themeColor="text1"/>
          <w:sz w:val="28"/>
          <w:szCs w:val="28"/>
        </w:rPr>
        <w:t xml:space="preserve">культурами в дневное время;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1"/>
        </w:numPr>
        <w:ind w:righ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допущение</w:t>
      </w:r>
      <w:r>
        <w:rPr>
          <w:color w:val="000000" w:themeColor="text1"/>
          <w:sz w:val="28"/>
          <w:szCs w:val="28"/>
        </w:rPr>
        <w:t xml:space="preserve"> произрастание высокой береговой и прибрежной растительности;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1"/>
        </w:numPr>
        <w:ind w:righ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выпас</w:t>
      </w:r>
      <w:r>
        <w:rPr>
          <w:color w:val="000000" w:themeColor="text1"/>
          <w:sz w:val="28"/>
          <w:szCs w:val="28"/>
        </w:rPr>
        <w:t xml:space="preserve"> скота.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При  наличии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в  границах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6-</w:t>
      </w:r>
      <w:r>
        <w:rPr>
          <w:color w:val="000000" w:themeColor="text1"/>
          <w:sz w:val="28"/>
          <w:szCs w:val="28"/>
        </w:rPr>
        <w:t xml:space="preserve">ой  подзоны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приаэродромной  территории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запрещенных  к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размещению  объектов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и  осуществление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запрещённой  деятельности</w:t>
      </w:r>
      <w:r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собственникам  таких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объектов  необходимо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проводить  мероприятия</w:t>
      </w:r>
      <w:r>
        <w:rPr>
          <w:color w:val="000000" w:themeColor="text1"/>
          <w:sz w:val="28"/>
          <w:szCs w:val="28"/>
        </w:rPr>
        <w:t xml:space="preserve">  по орнитологическому обеспечению полетов, которые направлены на устранение условий, способствующих привлечению и массовому скоплению птиц.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ПОДЗОНА №7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center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  <w:u w:val="single"/>
        </w:rPr>
        <w:t xml:space="preserve">Общая характеристика подзоны:</w:t>
      </w:r>
      <w:r>
        <w:rPr>
          <w:color w:val="000000" w:themeColor="text1"/>
          <w:sz w:val="24"/>
          <w:szCs w:val="24"/>
          <w:u w:val="single"/>
        </w:rPr>
      </w:r>
      <w:r>
        <w:rPr>
          <w:color w:val="000000" w:themeColor="text1"/>
          <w:sz w:val="24"/>
          <w:szCs w:val="24"/>
          <w:u w:val="single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Седьмая подзона </w:t>
      </w:r>
      <w:r>
        <w:rPr>
          <w:color w:val="000000" w:themeColor="text1"/>
          <w:sz w:val="28"/>
          <w:szCs w:val="28"/>
        </w:rPr>
        <w:t xml:space="preserve">-</w:t>
      </w:r>
      <w:r>
        <w:rPr>
          <w:color w:val="000000" w:themeColor="text1"/>
          <w:sz w:val="28"/>
          <w:szCs w:val="28"/>
        </w:rPr>
        <w:t xml:space="preserve"> это</w:t>
      </w:r>
      <w:r>
        <w:rPr>
          <w:color w:val="000000" w:themeColor="text1"/>
          <w:sz w:val="28"/>
          <w:szCs w:val="28"/>
        </w:rPr>
        <w:t xml:space="preserve"> подзона в которой ввиду превышения уровня шумового 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электромагнитного  воздействий,  концентраций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загрязняющих  веществ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в  атмосферном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Обоснование  ограничений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использования  объектов</w:t>
      </w:r>
      <w:r>
        <w:rPr>
          <w:color w:val="000000" w:themeColor="text1"/>
          <w:sz w:val="28"/>
          <w:szCs w:val="28"/>
        </w:rPr>
        <w:t xml:space="preserve">  недвижимости и осуществления деятельности в седьмой подзоне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Ограничения  использования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объектов  недвижимости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и  осуществления</w:t>
      </w:r>
      <w:r>
        <w:rPr>
          <w:color w:val="000000" w:themeColor="text1"/>
          <w:sz w:val="28"/>
          <w:szCs w:val="28"/>
        </w:rPr>
        <w:t xml:space="preserve"> деятельности в контуре по фактору шумового воздействия: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Запрещается размещение: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44"/>
        <w:numPr>
          <w:ilvl w:val="0"/>
          <w:numId w:val="52"/>
        </w:numPr>
        <w:ind w:righ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жилые</w:t>
      </w:r>
      <w:r>
        <w:rPr>
          <w:color w:val="000000" w:themeColor="text1"/>
          <w:sz w:val="28"/>
          <w:szCs w:val="28"/>
        </w:rPr>
        <w:t xml:space="preserve"> дома;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44"/>
        <w:numPr>
          <w:ilvl w:val="0"/>
          <w:numId w:val="52"/>
        </w:numPr>
        <w:ind w:righ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поликлиники,  амбулатории,  диспансеры,  дома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отдыха,  пансионаты,  дома </w:t>
      </w:r>
      <w:r>
        <w:rPr>
          <w:color w:val="000000" w:themeColor="text1"/>
          <w:sz w:val="28"/>
          <w:szCs w:val="28"/>
        </w:rPr>
        <w:t xml:space="preserve">интернаты для престарелых и инвалидов;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44"/>
        <w:numPr>
          <w:ilvl w:val="0"/>
          <w:numId w:val="52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учебные</w:t>
      </w:r>
      <w:r>
        <w:rPr>
          <w:color w:val="000000" w:themeColor="text1"/>
          <w:sz w:val="28"/>
          <w:szCs w:val="28"/>
        </w:rPr>
        <w:t xml:space="preserve"> заведения и дошкольные учреждения, библиотеки;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площадки</w:t>
      </w:r>
      <w:r>
        <w:rPr>
          <w:color w:val="000000" w:themeColor="text1"/>
          <w:sz w:val="28"/>
          <w:szCs w:val="28"/>
        </w:rPr>
        <w:t xml:space="preserve"> отдыха на территории микрорайонов и групп жилых домов, домов </w:t>
      </w:r>
      <w:r>
        <w:rPr>
          <w:color w:val="000000" w:themeColor="text1"/>
          <w:sz w:val="28"/>
          <w:szCs w:val="28"/>
        </w:rPr>
        <w:t xml:space="preserve">отдыха, пансионатов, домов-интернатов для престарелых и инвалидов, площадки детских </w:t>
      </w:r>
      <w:r>
        <w:rPr>
          <w:color w:val="000000" w:themeColor="text1"/>
          <w:sz w:val="28"/>
          <w:szCs w:val="28"/>
        </w:rPr>
        <w:t xml:space="preserve">дошкольных учреждений, школ и др.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44"/>
        <w:numPr>
          <w:ilvl w:val="0"/>
          <w:numId w:val="5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учебных заведений;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44"/>
        <w:numPr>
          <w:ilvl w:val="0"/>
          <w:numId w:val="52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больниц</w:t>
      </w:r>
      <w:r>
        <w:rPr>
          <w:color w:val="000000" w:themeColor="text1"/>
          <w:sz w:val="28"/>
          <w:szCs w:val="28"/>
        </w:rPr>
        <w:t xml:space="preserve"> и санаториев;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2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площадок</w:t>
      </w:r>
      <w:r>
        <w:rPr>
          <w:color w:val="000000" w:themeColor="text1"/>
          <w:sz w:val="28"/>
          <w:szCs w:val="28"/>
        </w:rPr>
        <w:t xml:space="preserve"> отдыха на территории больниц и санаториев.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    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Ограничения  использования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объектов  недвижимости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и  осуществления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деятельности по фактору химического загрязнения атмосферного воздуха: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     </w:t>
      </w:r>
      <w:r>
        <w:rPr>
          <w:color w:val="000000" w:themeColor="text1"/>
          <w:sz w:val="28"/>
          <w:szCs w:val="28"/>
        </w:rPr>
        <w:t xml:space="preserve">Контур на границе концентрации загрязняющих веществ не более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0,8 </w:t>
      </w:r>
      <w:r>
        <w:rPr>
          <w:color w:val="000000" w:themeColor="text1"/>
          <w:sz w:val="28"/>
          <w:szCs w:val="28"/>
        </w:rPr>
        <w:t xml:space="preserve">ПДКмр</w:t>
      </w:r>
      <w:r>
        <w:rPr>
          <w:color w:val="000000" w:themeColor="text1"/>
          <w:sz w:val="28"/>
          <w:szCs w:val="28"/>
        </w:rPr>
        <w:t xml:space="preserve">: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>
        <w:rPr>
          <w:color w:val="000000" w:themeColor="text1"/>
          <w:sz w:val="28"/>
          <w:szCs w:val="28"/>
        </w:rPr>
        <w:t xml:space="preserve">Запрещается размещение: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44"/>
        <w:numPr>
          <w:ilvl w:val="0"/>
          <w:numId w:val="53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места</w:t>
      </w:r>
      <w:r>
        <w:rPr>
          <w:color w:val="000000" w:themeColor="text1"/>
          <w:sz w:val="28"/>
          <w:szCs w:val="28"/>
        </w:rPr>
        <w:t xml:space="preserve"> массового отдыха населения;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44"/>
        <w:numPr>
          <w:ilvl w:val="0"/>
          <w:numId w:val="53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территории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размещения  лечебно</w:t>
      </w:r>
      <w:r>
        <w:rPr>
          <w:color w:val="000000" w:themeColor="text1"/>
          <w:sz w:val="28"/>
          <w:szCs w:val="28"/>
        </w:rPr>
        <w:t xml:space="preserve">-</w:t>
      </w:r>
      <w:r>
        <w:rPr>
          <w:color w:val="000000" w:themeColor="text1"/>
          <w:sz w:val="28"/>
          <w:szCs w:val="28"/>
        </w:rPr>
        <w:t xml:space="preserve">профилактических  учреждений</w:t>
      </w:r>
      <w:r>
        <w:rPr>
          <w:color w:val="000000" w:themeColor="text1"/>
          <w:sz w:val="28"/>
          <w:szCs w:val="28"/>
        </w:rPr>
        <w:t xml:space="preserve">  длительного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пребывания больных и центров реабилитации.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Контур на границе концентрация загрязняющих веществ не более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1,0 </w:t>
      </w:r>
      <w:r>
        <w:rPr>
          <w:color w:val="000000" w:themeColor="text1"/>
          <w:sz w:val="28"/>
          <w:szCs w:val="28"/>
        </w:rPr>
        <w:t xml:space="preserve">ПДКмр</w:t>
      </w:r>
      <w:r>
        <w:rPr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     </w:t>
      </w:r>
      <w:r>
        <w:rPr>
          <w:color w:val="000000" w:themeColor="text1"/>
          <w:sz w:val="28"/>
          <w:szCs w:val="28"/>
        </w:rPr>
        <w:t xml:space="preserve">Запрещается размещение: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4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жилые</w:t>
      </w:r>
      <w:r>
        <w:rPr>
          <w:color w:val="000000" w:themeColor="text1"/>
          <w:sz w:val="28"/>
          <w:szCs w:val="28"/>
        </w:rPr>
        <w:t xml:space="preserve"> зоны и другие территории проживания;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4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места</w:t>
      </w:r>
      <w:r>
        <w:rPr>
          <w:color w:val="000000" w:themeColor="text1"/>
          <w:sz w:val="28"/>
          <w:szCs w:val="28"/>
        </w:rPr>
        <w:t xml:space="preserve"> массового отдыха населения;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4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территории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размещения  лечебно</w:t>
      </w:r>
      <w:r>
        <w:rPr>
          <w:color w:val="000000" w:themeColor="text1"/>
          <w:sz w:val="28"/>
          <w:szCs w:val="28"/>
        </w:rPr>
        <w:t xml:space="preserve">-</w:t>
      </w:r>
      <w:r>
        <w:rPr>
          <w:color w:val="000000" w:themeColor="text1"/>
          <w:sz w:val="28"/>
          <w:szCs w:val="28"/>
        </w:rPr>
        <w:t xml:space="preserve">профилактических  учреждений</w:t>
      </w:r>
      <w:r>
        <w:rPr>
          <w:color w:val="000000" w:themeColor="text1"/>
          <w:sz w:val="28"/>
          <w:szCs w:val="28"/>
        </w:rPr>
        <w:t xml:space="preserve">  длительного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пребывания больных и центров реабилитации.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    </w:t>
      </w:r>
      <w:r>
        <w:rPr>
          <w:color w:val="000000" w:themeColor="text1"/>
          <w:sz w:val="28"/>
          <w:szCs w:val="28"/>
        </w:rPr>
        <w:t xml:space="preserve">Ограничения  использования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объектов  недвижимости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и  осуществления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деятельности по фактору электромагнитного излучения: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    </w:t>
      </w:r>
      <w:r>
        <w:rPr>
          <w:color w:val="000000" w:themeColor="text1"/>
          <w:sz w:val="28"/>
          <w:szCs w:val="28"/>
        </w:rPr>
        <w:t xml:space="preserve">Запрещается размещение: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5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селитебные</w:t>
      </w:r>
      <w:r>
        <w:rPr>
          <w:color w:val="000000" w:themeColor="text1"/>
          <w:sz w:val="28"/>
          <w:szCs w:val="28"/>
        </w:rPr>
        <w:t xml:space="preserve"> территории;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5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площадки</w:t>
      </w:r>
      <w:r>
        <w:rPr>
          <w:color w:val="000000" w:themeColor="text1"/>
          <w:sz w:val="28"/>
          <w:szCs w:val="28"/>
        </w:rPr>
        <w:t xml:space="preserve"> для стоянки и остановки всех видов транспорта;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44"/>
        <w:numPr>
          <w:ilvl w:val="0"/>
          <w:numId w:val="55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предприятия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по  обслуживанию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автомобилей,  бензозаправочных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станций, 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складов</w:t>
      </w:r>
      <w:r>
        <w:rPr>
          <w:color w:val="000000" w:themeColor="text1"/>
          <w:sz w:val="28"/>
          <w:szCs w:val="28"/>
        </w:rPr>
        <w:t xml:space="preserve"> нефти и нефтепродуктов и т.п.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1186"/>
        <w:ind w:firstLine="709"/>
        <w:jc w:val="both"/>
        <w:spacing w:before="0" w:beforeAutospacing="0" w:after="0" w:afterAutospacing="0"/>
        <w:widowControl w:val="off"/>
        <w:rPr>
          <w:bCs/>
          <w:color w:val="000000" w:themeColor="text1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Размещение в районах аэродромов зданий, высоковольтных линий электропередачи, радиотехническ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их и других сооружений, которые могут угрожать безопасности полетов воздушных судов или создавать помехи для нормальной работы навигационных средств аэродромов, должно быть согласовано с предприятиями и организациями, в ведении которых находятся аэродромы.</w:t>
      </w:r>
      <w:r>
        <w:rPr>
          <w:bCs/>
          <w:color w:val="000000" w:themeColor="text1"/>
          <w:shd w:val="clear" w:color="auto" w:fill="ffffff"/>
        </w:rPr>
      </w:r>
      <w:r>
        <w:rPr>
          <w:bCs/>
          <w:color w:val="000000" w:themeColor="text1"/>
          <w:shd w:val="clear" w:color="auto" w:fill="ffffff"/>
        </w:rPr>
      </w:r>
    </w:p>
    <w:p>
      <w:pPr>
        <w:pStyle w:val="1186"/>
        <w:ind w:firstLine="709"/>
        <w:jc w:val="both"/>
        <w:spacing w:before="0" w:beforeAutospacing="0" w:after="0" w:afterAutospacing="0"/>
        <w:widowControl w:val="off"/>
        <w:rPr>
          <w:bCs/>
          <w:color w:val="000000" w:themeColor="text1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Предприятия и организации, с которыми необходимо согл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асование, определяет штаб объединения ВВС военного округа, в зоне ответственности которого предполагается строительство. Адрес штаба представляется заказчикам проектной документации или проектным организациям органами власти субъектов Российской Федерации.</w:t>
      </w:r>
      <w:r>
        <w:rPr>
          <w:bCs/>
          <w:color w:val="000000" w:themeColor="text1"/>
          <w:shd w:val="clear" w:color="auto" w:fill="ffffff"/>
        </w:rPr>
      </w:r>
      <w:r>
        <w:rPr>
          <w:bCs/>
          <w:color w:val="000000" w:themeColor="text1"/>
          <w:shd w:val="clear" w:color="auto" w:fill="ffffff"/>
        </w:rPr>
      </w:r>
    </w:p>
    <w:p>
      <w:pPr>
        <w:pStyle w:val="1186"/>
        <w:ind w:firstLine="709"/>
        <w:jc w:val="both"/>
        <w:spacing w:before="0" w:beforeAutospacing="0" w:after="0" w:afterAutospacing="0"/>
        <w:widowControl w:val="off"/>
        <w:rPr>
          <w:b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 xml:space="preserve">Согласованию подлежит размещение: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1186"/>
        <w:ind w:firstLine="709"/>
        <w:jc w:val="both"/>
        <w:spacing w:before="0" w:beforeAutospacing="0" w:after="0" w:afterAutospacing="0"/>
        <w:widowControl w:val="off"/>
        <w:rPr>
          <w:b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 xml:space="preserve">1) всех объектов в границах полос воздушных подходов к аэродромам, а также вне этих границ в радиусе 10 км от контрольной точки аэродрома (КТА);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1186"/>
        <w:ind w:firstLine="709"/>
        <w:jc w:val="both"/>
        <w:spacing w:before="0" w:beforeAutospacing="0" w:after="0" w:afterAutospacing="0"/>
        <w:widowControl w:val="off"/>
        <w:rPr>
          <w:b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 xml:space="preserve">2) объектов в радиусе 30 км от КТА, высота которых относительно уровня аэродрома 50 м и более;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независимо от места размещения: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1186"/>
        <w:ind w:firstLine="709"/>
        <w:jc w:val="both"/>
        <w:spacing w:before="0" w:beforeAutospacing="0" w:after="0" w:afterAutospacing="0"/>
        <w:widowControl w:val="off"/>
        <w:rPr>
          <w:b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 xml:space="preserve">3) объектов высотой от поверхности земли 50 м и более;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1186"/>
        <w:ind w:firstLine="709"/>
        <w:jc w:val="both"/>
        <w:spacing w:before="0" w:beforeAutospacing="0" w:after="0" w:afterAutospacing="0"/>
        <w:widowControl w:val="off"/>
        <w:rPr>
          <w:b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 xml:space="preserve">4) линий связи, электропередачи, а также других объектов радио- и электромагнитных излучений, которые могут создавать помехи для нормальной работы радиотехнических средств;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1186"/>
        <w:ind w:firstLine="709"/>
        <w:jc w:val="both"/>
        <w:spacing w:before="0" w:beforeAutospacing="0" w:after="0" w:afterAutospacing="0"/>
        <w:widowControl w:val="off"/>
        <w:rPr>
          <w:b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 xml:space="preserve">5) взрывоопасных объектов;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1186"/>
        <w:ind w:firstLine="709"/>
        <w:jc w:val="both"/>
        <w:spacing w:before="0" w:beforeAutospacing="0" w:after="0" w:afterAutospacing="0"/>
        <w:widowControl w:val="off"/>
        <w:rPr>
          <w:b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 xml:space="preserve">6) факельных устройств для аварийного сжигания газов;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1186"/>
        <w:ind w:firstLine="709"/>
        <w:jc w:val="both"/>
        <w:spacing w:before="0" w:beforeAutospacing="0" w:after="0" w:afterAutospacing="0"/>
        <w:widowControl w:val="off"/>
        <w:rPr>
          <w:b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 xml:space="preserve">7) промышленных и иных предприятий и сооружений, деятельность которых может привести к ухудшению видимости в районах аэродромов.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1186"/>
        <w:ind w:firstLine="709"/>
        <w:jc w:val="both"/>
        <w:spacing w:before="0" w:beforeAutospacing="0" w:after="0" w:afterAutospacing="0"/>
        <w:widowControl w:val="off"/>
        <w:rPr>
          <w:b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 xml:space="preserve">Размещение объектов, указанных в</w:t>
      </w:r>
      <w:r>
        <w:rPr>
          <w:rStyle w:val="1193"/>
          <w:rFonts w:eastAsiaTheme="majorEastAsia"/>
          <w:bCs/>
          <w:color w:val="000000" w:themeColor="text1"/>
          <w:sz w:val="28"/>
          <w:szCs w:val="28"/>
        </w:rPr>
        <w:t xml:space="preserve"> п. </w:t>
      </w:r>
      <w:hyperlink r:id="rId13" w:tooltip="http://base.garant.ru/6180772/#block_8233" w:anchor="block_8233" w:history="1">
        <w:r>
          <w:rPr>
            <w:rStyle w:val="986"/>
            <w:rFonts w:eastAsiaTheme="majorEastAsia"/>
            <w:bCs/>
            <w:color w:val="000000" w:themeColor="text1"/>
            <w:sz w:val="28"/>
            <w:szCs w:val="28"/>
            <w:u w:val="none"/>
          </w:rPr>
          <w:t xml:space="preserve">3-7)</w:t>
        </w:r>
      </w:hyperlink>
      <w:r>
        <w:rPr>
          <w:bCs/>
          <w:color w:val="000000" w:themeColor="text1"/>
          <w:sz w:val="28"/>
          <w:szCs w:val="28"/>
        </w:rPr>
        <w:t xml:space="preserve">, независимо от места их размещения, кроме того, подлежит согласованию с штабом военного округа и штабом объединения ВВС, на территории и в зоне ответственности которых предполагается строительство.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1186"/>
        <w:ind w:firstLine="709"/>
        <w:jc w:val="both"/>
        <w:spacing w:before="0" w:beforeAutospacing="0" w:after="0" w:afterAutospacing="0"/>
        <w:widowControl w:val="off"/>
        <w:rPr>
          <w:b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 xml:space="preserve">Запрещается размещение на расстоянии ближе 15 км от КТА мест выброса пищевых отходов, звероферм, скотобоен и других объектов, отличающихся привлечением и массовым скоплением птиц.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1186"/>
        <w:ind w:firstLine="709"/>
        <w:jc w:val="both"/>
        <w:spacing w:before="0" w:beforeAutospacing="0" w:after="0" w:afterAutospacing="0"/>
        <w:widowControl w:val="off"/>
        <w:rPr>
          <w:bCs/>
          <w:color w:val="000000" w:themeColor="text1"/>
        </w:rPr>
      </w:pPr>
      <w:r>
        <w:rPr>
          <w:rStyle w:val="1194"/>
          <w:rFonts w:eastAsiaTheme="majorEastAsia"/>
          <w:bCs/>
          <w:color w:val="000000" w:themeColor="text1"/>
          <w:sz w:val="28"/>
          <w:szCs w:val="28"/>
        </w:rPr>
        <w:t xml:space="preserve">Примечание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1186"/>
        <w:ind w:firstLine="709"/>
        <w:jc w:val="both"/>
        <w:spacing w:before="0" w:beforeAutospacing="0" w:after="0" w:afterAutospacing="0"/>
        <w:widowControl w:val="off"/>
        <w:rPr>
          <w:b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 xml:space="preserve">1. Указанные согласования утрачивают силу, если в течение трех лет возведение соответствующих объектов не начато.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1186"/>
        <w:ind w:firstLine="709"/>
        <w:jc w:val="both"/>
        <w:spacing w:before="0" w:beforeAutospacing="0" w:after="0" w:afterAutospacing="0"/>
        <w:widowControl w:val="off"/>
        <w:rPr>
          <w:b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 xml:space="preserve">2. Контрольная точка аэродромов располагается вблизи геометрического центра аэродрома: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1186"/>
        <w:ind w:firstLine="709"/>
        <w:jc w:val="both"/>
        <w:spacing w:before="0" w:beforeAutospacing="0" w:after="0" w:afterAutospacing="0"/>
        <w:widowControl w:val="off"/>
        <w:rPr>
          <w:b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 xml:space="preserve">- при одной взлетно-посадочной полосе (ВПП) - в ее центре;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1186"/>
        <w:ind w:firstLine="709"/>
        <w:jc w:val="both"/>
        <w:spacing w:before="0" w:beforeAutospacing="0" w:after="0" w:afterAutospacing="0"/>
        <w:widowControl w:val="off"/>
        <w:rPr>
          <w:b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 xml:space="preserve">- при двух параллельных ВПП - в середине прямой, соединяющей их центры;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1186"/>
        <w:ind w:firstLine="709"/>
        <w:jc w:val="both"/>
        <w:spacing w:before="0" w:beforeAutospacing="0" w:after="0" w:afterAutospacing="0"/>
        <w:widowControl w:val="off"/>
        <w:rPr>
          <w:b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 xml:space="preserve">- при двух непараллельных ВПП - в точке пересечения перпендикуляров, восстановленных из центров ВПП.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pStyle w:val="1186"/>
        <w:ind w:firstLine="709"/>
        <w:jc w:val="both"/>
        <w:spacing w:before="0" w:beforeAutospacing="0" w:after="0" w:afterAutospacing="0"/>
        <w:widowControl w:val="off"/>
        <w:rPr>
          <w:b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 xml:space="preserve">3. В документах, представляемых на согласование размещения высотных сооружений, во всех случаях необходимо указывать координаты расположения проектируемых сооружений.</w:t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p>
      <w:pPr>
        <w:ind w:firstLine="709"/>
        <w:jc w:val="both"/>
        <w:widowControl w:val="off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8"/>
          <w:szCs w:val="28"/>
        </w:rPr>
        <w:t xml:space="preserve">4. При определении высоты факельных устройств учитывается максимально возможная высота выброса пламени.».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22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Опубликовать настоящий приказ на официальном Интернет-сайте исполнительных органов государственной власти Республики Адыгея (http://adygheya.ru).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Направить настоящий приказ Главе муниципального образования «</w:t>
      </w:r>
      <w:r>
        <w:rPr>
          <w:sz w:val="28"/>
          <w:szCs w:val="28"/>
        </w:rPr>
        <w:t xml:space="preserve">Тлюстенхабльское городское поселение</w:t>
      </w:r>
      <w:r>
        <w:rPr>
          <w:sz w:val="28"/>
          <w:szCs w:val="28"/>
        </w:rPr>
        <w:t xml:space="preserve">» для</w:t>
      </w:r>
      <w:r>
        <w:rPr>
          <w:sz w:val="28"/>
          <w:szCs w:val="28"/>
        </w:rPr>
        <w:t xml:space="preserve"> официального опубликования в порядке, установленном для опубликования правовых актов, иной официальной информации и</w:t>
      </w:r>
      <w:r>
        <w:rPr>
          <w:sz w:val="28"/>
          <w:szCs w:val="28"/>
        </w:rPr>
        <w:t xml:space="preserve"> размещения на официальном сайте в сети Интернет.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Разместить Правила землепользования и застройки муниципального образования «</w:t>
      </w:r>
      <w:r>
        <w:rPr>
          <w:sz w:val="28"/>
          <w:szCs w:val="28"/>
        </w:rPr>
        <w:t xml:space="preserve">Тлюстенхабльское городское поселение Теучежского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Республики Адыгея»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государственной информационной системе территориального планирования не позднее чем по истечении десяти дней с даты подписания настоящего приказа.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Настоящий приказ вст</w:t>
      </w:r>
      <w:r>
        <w:rPr>
          <w:sz w:val="28"/>
          <w:szCs w:val="28"/>
        </w:rPr>
        <w:t xml:space="preserve">упает в силу со дня его официального опубликования.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2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редседател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 Комитета           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А.Н. Зезарахов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22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820"/>
        <w:rPr>
          <w:sz w:val="24"/>
          <w:szCs w:val="24"/>
        </w:rPr>
      </w:pPr>
      <w:r>
        <w:rPr>
          <w:sz w:val="24"/>
          <w:szCs w:val="24"/>
        </w:rPr>
        <w:t xml:space="preserve">Приложение № 1 к Приказу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819"/>
        <w:rPr>
          <w:sz w:val="24"/>
          <w:szCs w:val="24"/>
        </w:rPr>
      </w:pPr>
      <w:r>
        <w:rPr>
          <w:sz w:val="24"/>
          <w:szCs w:val="24"/>
        </w:rPr>
        <w:t xml:space="preserve">Комитета Республики Адыгея по архитектуре и градостроительству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8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27.02.2026г. № 22-ПЗЗУ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60085" cy="4074881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927233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760084" cy="40748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53.55pt;height:320.86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820"/>
        <w:rPr>
          <w:sz w:val="24"/>
          <w:szCs w:val="24"/>
        </w:rPr>
      </w:pPr>
      <w:r>
        <w:rPr>
          <w:sz w:val="24"/>
          <w:szCs w:val="24"/>
        </w:rPr>
        <w:t xml:space="preserve">Приложение № 2 к Приказу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819"/>
        <w:rPr>
          <w:sz w:val="24"/>
          <w:szCs w:val="24"/>
        </w:rPr>
      </w:pPr>
      <w:r>
        <w:rPr>
          <w:sz w:val="24"/>
          <w:szCs w:val="24"/>
        </w:rPr>
        <w:t xml:space="preserve">Комитета Республики Адыгея по архитектуре и градостроительству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819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от 27.02.2026г. № 22-ПЗЗУ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60085" cy="4074881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314652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760084" cy="40748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53.55pt;height:320.86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820"/>
        <w:rPr>
          <w:sz w:val="24"/>
          <w:szCs w:val="24"/>
        </w:rPr>
      </w:pPr>
      <w:r>
        <w:rPr>
          <w:sz w:val="24"/>
          <w:szCs w:val="24"/>
        </w:rPr>
        <w:t xml:space="preserve">Приложение № 3 к Приказу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819"/>
        <w:rPr>
          <w:sz w:val="24"/>
          <w:szCs w:val="24"/>
        </w:rPr>
      </w:pPr>
      <w:r>
        <w:rPr>
          <w:sz w:val="24"/>
          <w:szCs w:val="24"/>
        </w:rPr>
        <w:t xml:space="preserve">Комитета Республики Адыгея по архитектуре и градостроительству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819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от 27.02.2026г. № 22-ПЗЗУ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819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0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60085" cy="4074881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777529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760084" cy="40748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53.55pt;height:320.86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851" w:right="1134" w:bottom="1105" w:left="1701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Symbol">
    <w:panose1 w:val="05010000000000000000"/>
  </w:font>
  <w:font w:name="Courier New">
    <w:panose1 w:val="02070309020205020404"/>
  </w:font>
  <w:font w:name="Times New Roman CYR">
    <w:panose1 w:val="02020603050405020304"/>
  </w:font>
  <w:font w:name="Tahoma">
    <w:panose1 w:val="020B0604030504040204"/>
  </w:font>
  <w:font w:name="Times New Roman">
    <w:panose1 w:val="02020603050405020304"/>
  </w:font>
  <w:font w:name="Microsoft YaHei">
    <w:panose1 w:val="020B0503020203020204"/>
  </w:font>
  <w:font w:name="Wingdings">
    <w:panose1 w:val="05010000000000000000"/>
  </w:font>
  <w:font w:name="Lucida Sans">
    <w:panose1 w:val="020B0602040504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4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85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60" w:hanging="4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62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4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6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8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0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2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4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6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eastAsia="SimSu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4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90" w:hanging="45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6">
    <w:multiLevelType w:val="hybridMultilevel"/>
    <w:lvl w:ilvl="0">
      <w:start w:val="8"/>
      <w:numFmt w:val="decimal"/>
      <w:isLgl w:val="false"/>
      <w:suff w:val="tab"/>
      <w:lvlText w:val="%1)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7">
    <w:multiLevelType w:val="hybridMultilevel"/>
    <w:lvl w:ilvl="0">
      <w:start w:val="6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8" w:hanging="9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0">
    <w:multiLevelType w:val="hybridMultilevel"/>
    <w:lvl w:ilvl="0">
      <w:start w:val="1"/>
      <w:numFmt w:val="decimal"/>
      <w:pStyle w:val="823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824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pStyle w:val="825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pStyle w:val="826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pStyle w:val="827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pStyle w:val="830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2">
    <w:multiLevelType w:val="hybridMultilevel"/>
    <w:lvl w:ilvl="0">
      <w:start w:val="8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2"/>
      <w:numFmt w:val="decimal"/>
      <w:isLgl w:val="false"/>
      <w:suff w:val="tab"/>
      <w:lvlText w:val="%1.%2."/>
      <w:lvlJc w:val="left"/>
      <w:pPr>
        <w:ind w:left="1571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06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913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40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5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106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597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48" w:hanging="2160"/>
      </w:pPr>
    </w:lvl>
  </w:abstractNum>
  <w:abstractNum w:abstractNumId="25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6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4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44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5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40" w:hanging="45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90" w:hanging="45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20"/>
  </w:num>
  <w:num w:numId="2">
    <w:abstractNumId w:val="19"/>
  </w:num>
  <w:num w:numId="3">
    <w:abstractNumId w:val="11"/>
  </w:num>
  <w:num w:numId="4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</w:num>
  <w:num w:numId="7">
    <w:abstractNumId w:val="3"/>
  </w:num>
  <w:num w:numId="8">
    <w:abstractNumId w:val="8"/>
  </w:num>
  <w:num w:numId="9">
    <w:abstractNumId w:val="0"/>
  </w:num>
  <w:num w:numId="10">
    <w:abstractNumId w:val="5"/>
  </w:num>
  <w:num w:numId="11">
    <w:abstractNumId w:val="27"/>
  </w:num>
  <w:num w:numId="12">
    <w:abstractNumId w:val="12"/>
  </w:num>
  <w:num w:numId="13">
    <w:abstractNumId w:val="28"/>
  </w:num>
  <w:num w:numId="14">
    <w:abstractNumId w:val="14"/>
  </w:num>
  <w:num w:numId="15">
    <w:abstractNumId w:val="29"/>
  </w:num>
  <w:num w:numId="16">
    <w:abstractNumId w:val="16"/>
  </w:num>
  <w:num w:numId="17">
    <w:abstractNumId w:val="10"/>
  </w:num>
  <w:num w:numId="18">
    <w:abstractNumId w:val="17"/>
  </w:num>
  <w:num w:numId="19">
    <w:abstractNumId w:val="22"/>
  </w:num>
  <w:num w:numId="20">
    <w:abstractNumId w:val="25"/>
  </w:num>
  <w:num w:numId="21">
    <w:abstractNumId w:val="23"/>
  </w:num>
  <w:num w:numId="22">
    <w:abstractNumId w:val="7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26"/>
  </w:num>
  <w:num w:numId="26">
    <w:abstractNumId w:val="13"/>
  </w:num>
  <w:num w:numId="27">
    <w:abstractNumId w:val="6"/>
  </w:num>
  <w:num w:numId="28">
    <w:abstractNumId w:val="2"/>
  </w:num>
  <w:num w:numId="29">
    <w:abstractNumId w:val="18"/>
  </w:num>
  <w:num w:numId="30">
    <w:abstractNumId w:val="15"/>
  </w:num>
  <w:num w:numId="31">
    <w:abstractNumId w:val="1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32"/>
  </w:num>
  <w:num w:numId="35">
    <w:abstractNumId w:val="33"/>
  </w:num>
  <w:num w:numId="36">
    <w:abstractNumId w:val="34"/>
  </w:num>
  <w:num w:numId="37">
    <w:abstractNumId w:val="35"/>
  </w:num>
  <w:num w:numId="38">
    <w:abstractNumId w:val="36"/>
  </w:num>
  <w:num w:numId="39">
    <w:abstractNumId w:val="37"/>
  </w:num>
  <w:num w:numId="40">
    <w:abstractNumId w:val="38"/>
  </w:num>
  <w:num w:numId="41">
    <w:abstractNumId w:val="39"/>
  </w:num>
  <w:num w:numId="42">
    <w:abstractNumId w:val="40"/>
  </w:num>
  <w:num w:numId="43">
    <w:abstractNumId w:val="41"/>
  </w:num>
  <w:num w:numId="44">
    <w:abstractNumId w:val="42"/>
  </w:num>
  <w:num w:numId="45">
    <w:abstractNumId w:val="43"/>
  </w:num>
  <w:num w:numId="46">
    <w:abstractNumId w:val="44"/>
  </w:num>
  <w:num w:numId="47">
    <w:abstractNumId w:val="45"/>
  </w:num>
  <w:num w:numId="48">
    <w:abstractNumId w:val="46"/>
  </w:num>
  <w:num w:numId="49">
    <w:abstractNumId w:val="47"/>
  </w:num>
  <w:num w:numId="50">
    <w:abstractNumId w:val="48"/>
  </w:num>
  <w:num w:numId="51">
    <w:abstractNumId w:val="49"/>
  </w:num>
  <w:num w:numId="52">
    <w:abstractNumId w:val="50"/>
  </w:num>
  <w:num w:numId="53">
    <w:abstractNumId w:val="51"/>
  </w:num>
  <w:num w:numId="54">
    <w:abstractNumId w:val="52"/>
  </w:num>
  <w:num w:numId="55">
    <w:abstractNumId w:val="53"/>
  </w:num>
  <w:num w:numId="56">
    <w:abstractNumId w:val="54"/>
  </w:num>
  <w:num w:numId="57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05">
    <w:name w:val="Heading 1 Char"/>
    <w:basedOn w:val="832"/>
    <w:link w:val="823"/>
    <w:uiPriority w:val="9"/>
    <w:rPr>
      <w:rFonts w:ascii="Arial" w:hAnsi="Arial" w:eastAsia="Arial" w:cs="Arial"/>
      <w:sz w:val="40"/>
      <w:szCs w:val="40"/>
    </w:rPr>
  </w:style>
  <w:style w:type="character" w:styleId="806">
    <w:name w:val="Heading 2 Char"/>
    <w:basedOn w:val="832"/>
    <w:link w:val="824"/>
    <w:uiPriority w:val="9"/>
    <w:rPr>
      <w:rFonts w:ascii="Arial" w:hAnsi="Arial" w:eastAsia="Arial" w:cs="Arial"/>
      <w:sz w:val="34"/>
    </w:rPr>
  </w:style>
  <w:style w:type="character" w:styleId="807">
    <w:name w:val="Heading 3 Char"/>
    <w:basedOn w:val="832"/>
    <w:link w:val="825"/>
    <w:uiPriority w:val="9"/>
    <w:rPr>
      <w:rFonts w:ascii="Arial" w:hAnsi="Arial" w:eastAsia="Arial" w:cs="Arial"/>
      <w:sz w:val="30"/>
      <w:szCs w:val="30"/>
    </w:rPr>
  </w:style>
  <w:style w:type="character" w:styleId="808">
    <w:name w:val="Heading 4 Char"/>
    <w:basedOn w:val="832"/>
    <w:link w:val="826"/>
    <w:uiPriority w:val="9"/>
    <w:rPr>
      <w:rFonts w:ascii="Arial" w:hAnsi="Arial" w:eastAsia="Arial" w:cs="Arial"/>
      <w:b/>
      <w:bCs/>
      <w:sz w:val="26"/>
      <w:szCs w:val="26"/>
    </w:rPr>
  </w:style>
  <w:style w:type="character" w:styleId="809">
    <w:name w:val="Heading 5 Char"/>
    <w:basedOn w:val="832"/>
    <w:link w:val="827"/>
    <w:uiPriority w:val="9"/>
    <w:rPr>
      <w:rFonts w:ascii="Arial" w:hAnsi="Arial" w:eastAsia="Arial" w:cs="Arial"/>
      <w:b/>
      <w:bCs/>
      <w:sz w:val="24"/>
      <w:szCs w:val="24"/>
    </w:rPr>
  </w:style>
  <w:style w:type="character" w:styleId="810">
    <w:name w:val="Heading 6 Char"/>
    <w:basedOn w:val="832"/>
    <w:link w:val="828"/>
    <w:uiPriority w:val="9"/>
    <w:rPr>
      <w:rFonts w:ascii="Arial" w:hAnsi="Arial" w:eastAsia="Arial" w:cs="Arial"/>
      <w:b/>
      <w:bCs/>
      <w:sz w:val="22"/>
      <w:szCs w:val="22"/>
    </w:rPr>
  </w:style>
  <w:style w:type="character" w:styleId="811">
    <w:name w:val="Heading 7 Char"/>
    <w:basedOn w:val="832"/>
    <w:link w:val="82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2">
    <w:name w:val="Heading 8 Char"/>
    <w:basedOn w:val="832"/>
    <w:link w:val="830"/>
    <w:uiPriority w:val="9"/>
    <w:rPr>
      <w:rFonts w:ascii="Arial" w:hAnsi="Arial" w:eastAsia="Arial" w:cs="Arial"/>
      <w:i/>
      <w:iCs/>
      <w:sz w:val="22"/>
      <w:szCs w:val="22"/>
    </w:rPr>
  </w:style>
  <w:style w:type="character" w:styleId="813">
    <w:name w:val="Heading 9 Char"/>
    <w:basedOn w:val="832"/>
    <w:link w:val="831"/>
    <w:uiPriority w:val="9"/>
    <w:rPr>
      <w:rFonts w:ascii="Arial" w:hAnsi="Arial" w:eastAsia="Arial" w:cs="Arial"/>
      <w:i/>
      <w:iCs/>
      <w:sz w:val="21"/>
      <w:szCs w:val="21"/>
    </w:rPr>
  </w:style>
  <w:style w:type="character" w:styleId="814">
    <w:name w:val="Title Char"/>
    <w:basedOn w:val="832"/>
    <w:link w:val="846"/>
    <w:uiPriority w:val="10"/>
    <w:rPr>
      <w:sz w:val="48"/>
      <w:szCs w:val="48"/>
    </w:rPr>
  </w:style>
  <w:style w:type="character" w:styleId="815">
    <w:name w:val="Subtitle Char"/>
    <w:basedOn w:val="832"/>
    <w:link w:val="848"/>
    <w:uiPriority w:val="11"/>
    <w:rPr>
      <w:sz w:val="24"/>
      <w:szCs w:val="24"/>
    </w:rPr>
  </w:style>
  <w:style w:type="character" w:styleId="816">
    <w:name w:val="Quote Char"/>
    <w:link w:val="850"/>
    <w:uiPriority w:val="29"/>
    <w:rPr>
      <w:i/>
    </w:rPr>
  </w:style>
  <w:style w:type="character" w:styleId="817">
    <w:name w:val="Intense Quote Char"/>
    <w:link w:val="852"/>
    <w:uiPriority w:val="30"/>
    <w:rPr>
      <w:i/>
    </w:rPr>
  </w:style>
  <w:style w:type="character" w:styleId="818">
    <w:name w:val="Header Char"/>
    <w:basedOn w:val="832"/>
    <w:link w:val="854"/>
    <w:uiPriority w:val="99"/>
  </w:style>
  <w:style w:type="character" w:styleId="819">
    <w:name w:val="Caption Char"/>
    <w:basedOn w:val="858"/>
    <w:link w:val="856"/>
    <w:uiPriority w:val="99"/>
  </w:style>
  <w:style w:type="character" w:styleId="820">
    <w:name w:val="Footnote Text Char"/>
    <w:link w:val="987"/>
    <w:uiPriority w:val="99"/>
    <w:rPr>
      <w:sz w:val="18"/>
    </w:rPr>
  </w:style>
  <w:style w:type="character" w:styleId="821">
    <w:name w:val="Endnote Text Char"/>
    <w:link w:val="990"/>
    <w:uiPriority w:val="99"/>
    <w:rPr>
      <w:sz w:val="20"/>
    </w:rPr>
  </w:style>
  <w:style w:type="paragraph" w:styleId="822" w:default="1">
    <w:name w:val="Normal"/>
    <w:qFormat/>
    <w:rPr>
      <w:lang w:eastAsia="ar-SA"/>
    </w:rPr>
  </w:style>
  <w:style w:type="paragraph" w:styleId="823">
    <w:name w:val="Heading 1"/>
    <w:basedOn w:val="822"/>
    <w:next w:val="822"/>
    <w:link w:val="835"/>
    <w:qFormat/>
    <w:pPr>
      <w:numPr>
        <w:ilvl w:val="0"/>
        <w:numId w:val="1"/>
      </w:numPr>
      <w:jc w:val="center"/>
      <w:keepNext/>
      <w:outlineLvl w:val="0"/>
    </w:pPr>
    <w:rPr>
      <w:b/>
      <w:sz w:val="22"/>
    </w:rPr>
  </w:style>
  <w:style w:type="paragraph" w:styleId="824">
    <w:name w:val="Heading 2"/>
    <w:basedOn w:val="822"/>
    <w:next w:val="822"/>
    <w:link w:val="836"/>
    <w:qFormat/>
    <w:pPr>
      <w:numPr>
        <w:ilvl w:val="1"/>
        <w:numId w:val="1"/>
      </w:numPr>
      <w:jc w:val="center"/>
      <w:keepNext/>
      <w:outlineLvl w:val="1"/>
    </w:pPr>
    <w:rPr>
      <w:sz w:val="24"/>
    </w:rPr>
  </w:style>
  <w:style w:type="paragraph" w:styleId="825">
    <w:name w:val="Heading 3"/>
    <w:basedOn w:val="822"/>
    <w:next w:val="822"/>
    <w:link w:val="837"/>
    <w:qFormat/>
    <w:pPr>
      <w:numPr>
        <w:ilvl w:val="2"/>
        <w:numId w:val="1"/>
      </w:numPr>
      <w:keepNext/>
      <w:outlineLvl w:val="2"/>
    </w:pPr>
    <w:rPr>
      <w:sz w:val="24"/>
    </w:rPr>
  </w:style>
  <w:style w:type="paragraph" w:styleId="826">
    <w:name w:val="Heading 4"/>
    <w:basedOn w:val="822"/>
    <w:next w:val="822"/>
    <w:link w:val="838"/>
    <w:qFormat/>
    <w:pPr>
      <w:numPr>
        <w:ilvl w:val="3"/>
        <w:numId w:val="1"/>
      </w:numPr>
      <w:ind w:left="0" w:firstLine="851"/>
      <w:keepNext/>
      <w:outlineLvl w:val="3"/>
    </w:pPr>
    <w:rPr>
      <w:sz w:val="28"/>
    </w:rPr>
  </w:style>
  <w:style w:type="paragraph" w:styleId="827">
    <w:name w:val="Heading 5"/>
    <w:basedOn w:val="822"/>
    <w:next w:val="822"/>
    <w:link w:val="839"/>
    <w:qFormat/>
    <w:pPr>
      <w:numPr>
        <w:ilvl w:val="4"/>
        <w:numId w:val="1"/>
      </w:numPr>
      <w:keepNext/>
      <w:outlineLvl w:val="4"/>
    </w:pPr>
    <w:rPr>
      <w:sz w:val="28"/>
    </w:rPr>
  </w:style>
  <w:style w:type="paragraph" w:styleId="828">
    <w:name w:val="Heading 6"/>
    <w:basedOn w:val="822"/>
    <w:next w:val="822"/>
    <w:link w:val="8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9">
    <w:name w:val="Heading 7"/>
    <w:basedOn w:val="822"/>
    <w:next w:val="822"/>
    <w:link w:val="84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30">
    <w:name w:val="Heading 8"/>
    <w:basedOn w:val="822"/>
    <w:next w:val="822"/>
    <w:link w:val="842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  <w:sz w:val="24"/>
      <w:szCs w:val="24"/>
    </w:rPr>
  </w:style>
  <w:style w:type="paragraph" w:styleId="831">
    <w:name w:val="Heading 9"/>
    <w:basedOn w:val="822"/>
    <w:next w:val="822"/>
    <w:link w:val="84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character" w:styleId="835" w:customStyle="1">
    <w:name w:val="Заголовок 1 Знак"/>
    <w:link w:val="823"/>
    <w:uiPriority w:val="9"/>
    <w:rPr>
      <w:rFonts w:ascii="Arial" w:hAnsi="Arial" w:eastAsia="Arial" w:cs="Arial"/>
      <w:sz w:val="40"/>
      <w:szCs w:val="40"/>
    </w:rPr>
  </w:style>
  <w:style w:type="character" w:styleId="836" w:customStyle="1">
    <w:name w:val="Заголовок 2 Знак"/>
    <w:link w:val="824"/>
    <w:uiPriority w:val="9"/>
    <w:rPr>
      <w:rFonts w:ascii="Arial" w:hAnsi="Arial" w:eastAsia="Arial" w:cs="Arial"/>
      <w:sz w:val="34"/>
    </w:rPr>
  </w:style>
  <w:style w:type="character" w:styleId="837" w:customStyle="1">
    <w:name w:val="Заголовок 3 Знак"/>
    <w:link w:val="825"/>
    <w:uiPriority w:val="9"/>
    <w:rPr>
      <w:rFonts w:ascii="Arial" w:hAnsi="Arial" w:eastAsia="Arial" w:cs="Arial"/>
      <w:sz w:val="30"/>
      <w:szCs w:val="30"/>
    </w:rPr>
  </w:style>
  <w:style w:type="character" w:styleId="838" w:customStyle="1">
    <w:name w:val="Заголовок 4 Знак"/>
    <w:link w:val="826"/>
    <w:uiPriority w:val="9"/>
    <w:rPr>
      <w:rFonts w:ascii="Arial" w:hAnsi="Arial" w:eastAsia="Arial" w:cs="Arial"/>
      <w:b/>
      <w:bCs/>
      <w:sz w:val="26"/>
      <w:szCs w:val="26"/>
    </w:rPr>
  </w:style>
  <w:style w:type="character" w:styleId="839" w:customStyle="1">
    <w:name w:val="Заголовок 5 Знак"/>
    <w:link w:val="827"/>
    <w:uiPriority w:val="9"/>
    <w:rPr>
      <w:rFonts w:ascii="Arial" w:hAnsi="Arial" w:eastAsia="Arial" w:cs="Arial"/>
      <w:b/>
      <w:bCs/>
      <w:sz w:val="24"/>
      <w:szCs w:val="24"/>
    </w:rPr>
  </w:style>
  <w:style w:type="character" w:styleId="840" w:customStyle="1">
    <w:name w:val="Заголовок 6 Знак"/>
    <w:link w:val="828"/>
    <w:uiPriority w:val="9"/>
    <w:rPr>
      <w:rFonts w:ascii="Arial" w:hAnsi="Arial" w:eastAsia="Arial" w:cs="Arial"/>
      <w:b/>
      <w:bCs/>
      <w:sz w:val="22"/>
      <w:szCs w:val="22"/>
    </w:rPr>
  </w:style>
  <w:style w:type="character" w:styleId="841" w:customStyle="1">
    <w:name w:val="Заголовок 7 Знак"/>
    <w:link w:val="82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42" w:customStyle="1">
    <w:name w:val="Заголовок 8 Знак1"/>
    <w:link w:val="830"/>
    <w:uiPriority w:val="9"/>
    <w:rPr>
      <w:rFonts w:ascii="Arial" w:hAnsi="Arial" w:eastAsia="Arial" w:cs="Arial"/>
      <w:i/>
      <w:iCs/>
      <w:sz w:val="22"/>
      <w:szCs w:val="22"/>
    </w:rPr>
  </w:style>
  <w:style w:type="character" w:styleId="843" w:customStyle="1">
    <w:name w:val="Заголовок 9 Знак"/>
    <w:link w:val="831"/>
    <w:uiPriority w:val="9"/>
    <w:rPr>
      <w:rFonts w:ascii="Arial" w:hAnsi="Arial" w:eastAsia="Arial" w:cs="Arial"/>
      <w:i/>
      <w:iCs/>
      <w:sz w:val="21"/>
      <w:szCs w:val="21"/>
    </w:rPr>
  </w:style>
  <w:style w:type="paragraph" w:styleId="844">
    <w:name w:val="List Paragraph"/>
    <w:basedOn w:val="822"/>
    <w:qFormat/>
    <w:pPr>
      <w:ind w:left="720"/>
    </w:pPr>
  </w:style>
  <w:style w:type="paragraph" w:styleId="845">
    <w:name w:val="No Spacing"/>
    <w:uiPriority w:val="1"/>
    <w:qFormat/>
  </w:style>
  <w:style w:type="paragraph" w:styleId="846">
    <w:name w:val="Title"/>
    <w:basedOn w:val="822"/>
    <w:next w:val="1174"/>
    <w:link w:val="847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character" w:styleId="847" w:customStyle="1">
    <w:name w:val="Заголовок Знак"/>
    <w:link w:val="846"/>
    <w:uiPriority w:val="10"/>
    <w:rPr>
      <w:sz w:val="48"/>
      <w:szCs w:val="48"/>
    </w:rPr>
  </w:style>
  <w:style w:type="paragraph" w:styleId="848">
    <w:name w:val="Subtitle"/>
    <w:basedOn w:val="822"/>
    <w:next w:val="822"/>
    <w:link w:val="849"/>
    <w:uiPriority w:val="11"/>
    <w:qFormat/>
    <w:pPr>
      <w:spacing w:before="200" w:after="200"/>
    </w:pPr>
    <w:rPr>
      <w:sz w:val="24"/>
      <w:szCs w:val="24"/>
    </w:rPr>
  </w:style>
  <w:style w:type="character" w:styleId="849" w:customStyle="1">
    <w:name w:val="Подзаголовок Знак"/>
    <w:link w:val="848"/>
    <w:uiPriority w:val="11"/>
    <w:rPr>
      <w:sz w:val="24"/>
      <w:szCs w:val="24"/>
    </w:rPr>
  </w:style>
  <w:style w:type="paragraph" w:styleId="850">
    <w:name w:val="Quote"/>
    <w:basedOn w:val="822"/>
    <w:next w:val="822"/>
    <w:link w:val="851"/>
    <w:uiPriority w:val="29"/>
    <w:qFormat/>
    <w:pPr>
      <w:ind w:left="720" w:right="720"/>
    </w:pPr>
    <w:rPr>
      <w:i/>
    </w:rPr>
  </w:style>
  <w:style w:type="character" w:styleId="851" w:customStyle="1">
    <w:name w:val="Цитата 2 Знак"/>
    <w:link w:val="850"/>
    <w:uiPriority w:val="29"/>
    <w:rPr>
      <w:i/>
    </w:rPr>
  </w:style>
  <w:style w:type="paragraph" w:styleId="852">
    <w:name w:val="Intense Quote"/>
    <w:basedOn w:val="822"/>
    <w:next w:val="822"/>
    <w:link w:val="85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53" w:customStyle="1">
    <w:name w:val="Выделенная цитата Знак"/>
    <w:link w:val="852"/>
    <w:uiPriority w:val="30"/>
    <w:rPr>
      <w:i/>
    </w:rPr>
  </w:style>
  <w:style w:type="paragraph" w:styleId="854">
    <w:name w:val="Header"/>
    <w:basedOn w:val="822"/>
    <w:link w:val="85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855" w:customStyle="1">
    <w:name w:val="Верхний колонтитул Знак"/>
    <w:link w:val="854"/>
    <w:uiPriority w:val="99"/>
  </w:style>
  <w:style w:type="paragraph" w:styleId="856">
    <w:name w:val="Footer"/>
    <w:basedOn w:val="822"/>
    <w:link w:val="85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857" w:customStyle="1">
    <w:name w:val="Footer Char"/>
    <w:uiPriority w:val="99"/>
  </w:style>
  <w:style w:type="paragraph" w:styleId="858">
    <w:name w:val="Caption"/>
    <w:basedOn w:val="822"/>
    <w:next w:val="82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9" w:customStyle="1">
    <w:name w:val="Нижний колонтитул Знак"/>
    <w:link w:val="856"/>
    <w:uiPriority w:val="99"/>
  </w:style>
  <w:style w:type="table" w:styleId="860">
    <w:name w:val="Table Grid"/>
    <w:basedOn w:val="833"/>
    <w:uiPriority w:val="59"/>
    <w:tblPr/>
  </w:style>
  <w:style w:type="table" w:styleId="861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2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3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4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5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7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9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90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91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92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93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94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95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96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97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98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99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00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01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02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03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04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05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06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07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08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09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2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2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2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2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2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2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30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5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6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7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8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9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0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5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5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5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5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5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5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58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6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67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68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69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70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71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72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3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74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75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76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77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78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79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80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81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82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83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84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85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86">
    <w:name w:val="Hyperlink"/>
    <w:rPr>
      <w:color w:val="0000ff"/>
      <w:u w:val="single"/>
    </w:rPr>
  </w:style>
  <w:style w:type="paragraph" w:styleId="987">
    <w:name w:val="footnote text"/>
    <w:basedOn w:val="822"/>
    <w:link w:val="988"/>
    <w:uiPriority w:val="99"/>
    <w:semiHidden/>
    <w:unhideWhenUsed/>
    <w:pPr>
      <w:spacing w:after="40"/>
    </w:pPr>
    <w:rPr>
      <w:sz w:val="18"/>
    </w:rPr>
  </w:style>
  <w:style w:type="character" w:styleId="988" w:customStyle="1">
    <w:name w:val="Текст сноски Знак"/>
    <w:link w:val="987"/>
    <w:uiPriority w:val="99"/>
    <w:rPr>
      <w:sz w:val="18"/>
    </w:rPr>
  </w:style>
  <w:style w:type="character" w:styleId="989">
    <w:name w:val="footnote reference"/>
    <w:uiPriority w:val="99"/>
    <w:unhideWhenUsed/>
    <w:rPr>
      <w:vertAlign w:val="superscript"/>
    </w:rPr>
  </w:style>
  <w:style w:type="paragraph" w:styleId="990">
    <w:name w:val="endnote text"/>
    <w:basedOn w:val="822"/>
    <w:link w:val="991"/>
    <w:uiPriority w:val="99"/>
    <w:semiHidden/>
    <w:unhideWhenUsed/>
  </w:style>
  <w:style w:type="character" w:styleId="991" w:customStyle="1">
    <w:name w:val="Текст концевой сноски Знак"/>
    <w:link w:val="990"/>
    <w:uiPriority w:val="99"/>
    <w:rPr>
      <w:sz w:val="20"/>
    </w:rPr>
  </w:style>
  <w:style w:type="character" w:styleId="992">
    <w:name w:val="endnote reference"/>
    <w:uiPriority w:val="99"/>
    <w:semiHidden/>
    <w:unhideWhenUsed/>
    <w:rPr>
      <w:vertAlign w:val="superscript"/>
    </w:rPr>
  </w:style>
  <w:style w:type="paragraph" w:styleId="993">
    <w:name w:val="toc 1"/>
    <w:basedOn w:val="822"/>
    <w:next w:val="822"/>
    <w:uiPriority w:val="39"/>
    <w:unhideWhenUsed/>
    <w:pPr>
      <w:spacing w:after="57"/>
    </w:pPr>
  </w:style>
  <w:style w:type="paragraph" w:styleId="994">
    <w:name w:val="toc 2"/>
    <w:basedOn w:val="822"/>
    <w:next w:val="822"/>
    <w:uiPriority w:val="39"/>
    <w:unhideWhenUsed/>
    <w:pPr>
      <w:ind w:left="283"/>
      <w:spacing w:after="57"/>
    </w:pPr>
  </w:style>
  <w:style w:type="paragraph" w:styleId="995">
    <w:name w:val="toc 3"/>
    <w:basedOn w:val="822"/>
    <w:next w:val="822"/>
    <w:uiPriority w:val="39"/>
    <w:unhideWhenUsed/>
    <w:pPr>
      <w:ind w:left="567"/>
      <w:spacing w:after="57"/>
    </w:pPr>
  </w:style>
  <w:style w:type="paragraph" w:styleId="996">
    <w:name w:val="toc 4"/>
    <w:basedOn w:val="822"/>
    <w:next w:val="822"/>
    <w:uiPriority w:val="39"/>
    <w:unhideWhenUsed/>
    <w:pPr>
      <w:ind w:left="850"/>
      <w:spacing w:after="57"/>
    </w:pPr>
  </w:style>
  <w:style w:type="paragraph" w:styleId="997">
    <w:name w:val="toc 5"/>
    <w:basedOn w:val="822"/>
    <w:next w:val="822"/>
    <w:uiPriority w:val="39"/>
    <w:unhideWhenUsed/>
    <w:pPr>
      <w:ind w:left="1134"/>
      <w:spacing w:after="57"/>
    </w:pPr>
  </w:style>
  <w:style w:type="paragraph" w:styleId="998">
    <w:name w:val="toc 6"/>
    <w:basedOn w:val="822"/>
    <w:next w:val="822"/>
    <w:uiPriority w:val="39"/>
    <w:unhideWhenUsed/>
    <w:pPr>
      <w:ind w:left="1417"/>
      <w:spacing w:after="57"/>
    </w:pPr>
  </w:style>
  <w:style w:type="paragraph" w:styleId="999">
    <w:name w:val="toc 7"/>
    <w:basedOn w:val="822"/>
    <w:next w:val="822"/>
    <w:uiPriority w:val="39"/>
    <w:unhideWhenUsed/>
    <w:pPr>
      <w:ind w:left="1701"/>
      <w:spacing w:after="57"/>
    </w:pPr>
  </w:style>
  <w:style w:type="paragraph" w:styleId="1000">
    <w:name w:val="toc 8"/>
    <w:basedOn w:val="822"/>
    <w:next w:val="822"/>
    <w:uiPriority w:val="39"/>
    <w:unhideWhenUsed/>
    <w:pPr>
      <w:ind w:left="1984"/>
      <w:spacing w:after="57"/>
    </w:pPr>
  </w:style>
  <w:style w:type="paragraph" w:styleId="1001">
    <w:name w:val="toc 9"/>
    <w:basedOn w:val="822"/>
    <w:next w:val="822"/>
    <w:uiPriority w:val="39"/>
    <w:unhideWhenUsed/>
    <w:pPr>
      <w:ind w:left="2268"/>
      <w:spacing w:after="57"/>
    </w:pPr>
  </w:style>
  <w:style w:type="paragraph" w:styleId="1002">
    <w:name w:val="TOC Heading"/>
    <w:uiPriority w:val="39"/>
    <w:unhideWhenUsed/>
  </w:style>
  <w:style w:type="paragraph" w:styleId="1003">
    <w:name w:val="table of figures"/>
    <w:basedOn w:val="822"/>
    <w:next w:val="822"/>
    <w:uiPriority w:val="99"/>
    <w:unhideWhenUsed/>
  </w:style>
  <w:style w:type="character" w:styleId="1004" w:customStyle="1">
    <w:name w:val="WW8Num1z0"/>
  </w:style>
  <w:style w:type="character" w:styleId="1005" w:customStyle="1">
    <w:name w:val="WW8Num1z1"/>
  </w:style>
  <w:style w:type="character" w:styleId="1006" w:customStyle="1">
    <w:name w:val="WW8Num1z2"/>
  </w:style>
  <w:style w:type="character" w:styleId="1007" w:customStyle="1">
    <w:name w:val="WW8Num1z3"/>
  </w:style>
  <w:style w:type="character" w:styleId="1008" w:customStyle="1">
    <w:name w:val="WW8Num1z4"/>
  </w:style>
  <w:style w:type="character" w:styleId="1009" w:customStyle="1">
    <w:name w:val="WW8Num1z5"/>
  </w:style>
  <w:style w:type="character" w:styleId="1010" w:customStyle="1">
    <w:name w:val="WW8Num1z6"/>
  </w:style>
  <w:style w:type="character" w:styleId="1011" w:customStyle="1">
    <w:name w:val="WW8Num1z7"/>
  </w:style>
  <w:style w:type="character" w:styleId="1012" w:customStyle="1">
    <w:name w:val="WW8Num1z8"/>
  </w:style>
  <w:style w:type="character" w:styleId="1013" w:customStyle="1">
    <w:name w:val="WW8Num2z0"/>
  </w:style>
  <w:style w:type="character" w:styleId="1014" w:customStyle="1">
    <w:name w:val="WW8Num2z1"/>
    <w:rPr>
      <w:sz w:val="28"/>
      <w:szCs w:val="28"/>
    </w:rPr>
  </w:style>
  <w:style w:type="character" w:styleId="1015" w:customStyle="1">
    <w:name w:val="WW8Num2z2"/>
  </w:style>
  <w:style w:type="character" w:styleId="1016" w:customStyle="1">
    <w:name w:val="WW8Num2z3"/>
  </w:style>
  <w:style w:type="character" w:styleId="1017" w:customStyle="1">
    <w:name w:val="WW8Num2z4"/>
  </w:style>
  <w:style w:type="character" w:styleId="1018" w:customStyle="1">
    <w:name w:val="WW8Num2z5"/>
  </w:style>
  <w:style w:type="character" w:styleId="1019" w:customStyle="1">
    <w:name w:val="WW8Num2z6"/>
  </w:style>
  <w:style w:type="character" w:styleId="1020" w:customStyle="1">
    <w:name w:val="WW8Num2z7"/>
  </w:style>
  <w:style w:type="character" w:styleId="1021" w:customStyle="1">
    <w:name w:val="WW8Num2z8"/>
  </w:style>
  <w:style w:type="character" w:styleId="1022" w:customStyle="1">
    <w:name w:val="WW8Num3z0"/>
  </w:style>
  <w:style w:type="character" w:styleId="1023" w:customStyle="1">
    <w:name w:val="WW8Num3z1"/>
  </w:style>
  <w:style w:type="character" w:styleId="1024" w:customStyle="1">
    <w:name w:val="WW8Num3z2"/>
  </w:style>
  <w:style w:type="character" w:styleId="1025" w:customStyle="1">
    <w:name w:val="WW8Num3z3"/>
  </w:style>
  <w:style w:type="character" w:styleId="1026" w:customStyle="1">
    <w:name w:val="WW8Num3z4"/>
  </w:style>
  <w:style w:type="character" w:styleId="1027" w:customStyle="1">
    <w:name w:val="WW8Num3z5"/>
  </w:style>
  <w:style w:type="character" w:styleId="1028" w:customStyle="1">
    <w:name w:val="WW8Num3z6"/>
  </w:style>
  <w:style w:type="character" w:styleId="1029" w:customStyle="1">
    <w:name w:val="WW8Num3z7"/>
  </w:style>
  <w:style w:type="character" w:styleId="1030" w:customStyle="1">
    <w:name w:val="WW8Num3z8"/>
  </w:style>
  <w:style w:type="character" w:styleId="1031" w:customStyle="1">
    <w:name w:val="WW8Num4z0"/>
  </w:style>
  <w:style w:type="character" w:styleId="1032" w:customStyle="1">
    <w:name w:val="WW8Num5z0"/>
  </w:style>
  <w:style w:type="character" w:styleId="1033" w:customStyle="1">
    <w:name w:val="WW8Num5z1"/>
  </w:style>
  <w:style w:type="character" w:styleId="1034" w:customStyle="1">
    <w:name w:val="WW8Num5z2"/>
  </w:style>
  <w:style w:type="character" w:styleId="1035" w:customStyle="1">
    <w:name w:val="WW8Num5z3"/>
  </w:style>
  <w:style w:type="character" w:styleId="1036" w:customStyle="1">
    <w:name w:val="WW8Num5z4"/>
  </w:style>
  <w:style w:type="character" w:styleId="1037" w:customStyle="1">
    <w:name w:val="WW8Num5z5"/>
  </w:style>
  <w:style w:type="character" w:styleId="1038" w:customStyle="1">
    <w:name w:val="WW8Num5z6"/>
  </w:style>
  <w:style w:type="character" w:styleId="1039" w:customStyle="1">
    <w:name w:val="WW8Num5z7"/>
  </w:style>
  <w:style w:type="character" w:styleId="1040" w:customStyle="1">
    <w:name w:val="WW8Num5z8"/>
  </w:style>
  <w:style w:type="character" w:styleId="1041" w:customStyle="1">
    <w:name w:val="WW8Num6z0"/>
  </w:style>
  <w:style w:type="character" w:styleId="1042" w:customStyle="1">
    <w:name w:val="WW8Num6z1"/>
  </w:style>
  <w:style w:type="character" w:styleId="1043" w:customStyle="1">
    <w:name w:val="WW8Num6z2"/>
  </w:style>
  <w:style w:type="character" w:styleId="1044" w:customStyle="1">
    <w:name w:val="WW8Num6z3"/>
  </w:style>
  <w:style w:type="character" w:styleId="1045" w:customStyle="1">
    <w:name w:val="WW8Num6z4"/>
  </w:style>
  <w:style w:type="character" w:styleId="1046" w:customStyle="1">
    <w:name w:val="WW8Num6z5"/>
  </w:style>
  <w:style w:type="character" w:styleId="1047" w:customStyle="1">
    <w:name w:val="WW8Num6z6"/>
  </w:style>
  <w:style w:type="character" w:styleId="1048" w:customStyle="1">
    <w:name w:val="WW8Num6z7"/>
  </w:style>
  <w:style w:type="character" w:styleId="1049" w:customStyle="1">
    <w:name w:val="WW8Num6z8"/>
  </w:style>
  <w:style w:type="character" w:styleId="1050" w:customStyle="1">
    <w:name w:val="WW8Num7z0"/>
  </w:style>
  <w:style w:type="character" w:styleId="1051" w:customStyle="1">
    <w:name w:val="WW8Num7z1"/>
  </w:style>
  <w:style w:type="character" w:styleId="1052" w:customStyle="1">
    <w:name w:val="WW8Num7z2"/>
  </w:style>
  <w:style w:type="character" w:styleId="1053" w:customStyle="1">
    <w:name w:val="WW8Num7z3"/>
  </w:style>
  <w:style w:type="character" w:styleId="1054" w:customStyle="1">
    <w:name w:val="WW8Num7z4"/>
  </w:style>
  <w:style w:type="character" w:styleId="1055" w:customStyle="1">
    <w:name w:val="WW8Num7z5"/>
  </w:style>
  <w:style w:type="character" w:styleId="1056" w:customStyle="1">
    <w:name w:val="WW8Num7z6"/>
  </w:style>
  <w:style w:type="character" w:styleId="1057" w:customStyle="1">
    <w:name w:val="WW8Num7z7"/>
  </w:style>
  <w:style w:type="character" w:styleId="1058" w:customStyle="1">
    <w:name w:val="WW8Num7z8"/>
  </w:style>
  <w:style w:type="character" w:styleId="1059" w:customStyle="1">
    <w:name w:val="WW8Num8z0"/>
  </w:style>
  <w:style w:type="character" w:styleId="1060" w:customStyle="1">
    <w:name w:val="WW8Num8z1"/>
  </w:style>
  <w:style w:type="character" w:styleId="1061" w:customStyle="1">
    <w:name w:val="WW8Num8z2"/>
  </w:style>
  <w:style w:type="character" w:styleId="1062" w:customStyle="1">
    <w:name w:val="WW8Num8z3"/>
  </w:style>
  <w:style w:type="character" w:styleId="1063" w:customStyle="1">
    <w:name w:val="WW8Num8z4"/>
  </w:style>
  <w:style w:type="character" w:styleId="1064" w:customStyle="1">
    <w:name w:val="WW8Num8z5"/>
  </w:style>
  <w:style w:type="character" w:styleId="1065" w:customStyle="1">
    <w:name w:val="WW8Num8z6"/>
  </w:style>
  <w:style w:type="character" w:styleId="1066" w:customStyle="1">
    <w:name w:val="WW8Num8z7"/>
  </w:style>
  <w:style w:type="character" w:styleId="1067" w:customStyle="1">
    <w:name w:val="WW8Num8z8"/>
  </w:style>
  <w:style w:type="character" w:styleId="1068" w:customStyle="1">
    <w:name w:val="WW8Num9z0"/>
  </w:style>
  <w:style w:type="character" w:styleId="1069" w:customStyle="1">
    <w:name w:val="WW8Num9z1"/>
  </w:style>
  <w:style w:type="character" w:styleId="1070" w:customStyle="1">
    <w:name w:val="WW8Num9z2"/>
  </w:style>
  <w:style w:type="character" w:styleId="1071" w:customStyle="1">
    <w:name w:val="WW8Num9z3"/>
  </w:style>
  <w:style w:type="character" w:styleId="1072" w:customStyle="1">
    <w:name w:val="WW8Num9z4"/>
  </w:style>
  <w:style w:type="character" w:styleId="1073" w:customStyle="1">
    <w:name w:val="WW8Num9z5"/>
  </w:style>
  <w:style w:type="character" w:styleId="1074" w:customStyle="1">
    <w:name w:val="WW8Num9z6"/>
  </w:style>
  <w:style w:type="character" w:styleId="1075" w:customStyle="1">
    <w:name w:val="WW8Num9z7"/>
  </w:style>
  <w:style w:type="character" w:styleId="1076" w:customStyle="1">
    <w:name w:val="WW8Num9z8"/>
  </w:style>
  <w:style w:type="character" w:styleId="1077" w:customStyle="1">
    <w:name w:val="WW8Num10z0"/>
    <w:rPr>
      <w:rFonts w:ascii="Wingdings" w:hAnsi="Wingdings" w:cs="Wingdings"/>
    </w:rPr>
  </w:style>
  <w:style w:type="character" w:styleId="1078" w:customStyle="1">
    <w:name w:val="WW8Num11z0"/>
  </w:style>
  <w:style w:type="character" w:styleId="1079" w:customStyle="1">
    <w:name w:val="WW8Num11z1"/>
  </w:style>
  <w:style w:type="character" w:styleId="1080" w:customStyle="1">
    <w:name w:val="WW8Num11z2"/>
  </w:style>
  <w:style w:type="character" w:styleId="1081" w:customStyle="1">
    <w:name w:val="WW8Num11z3"/>
  </w:style>
  <w:style w:type="character" w:styleId="1082" w:customStyle="1">
    <w:name w:val="WW8Num11z4"/>
  </w:style>
  <w:style w:type="character" w:styleId="1083" w:customStyle="1">
    <w:name w:val="WW8Num11z5"/>
  </w:style>
  <w:style w:type="character" w:styleId="1084" w:customStyle="1">
    <w:name w:val="WW8Num11z6"/>
  </w:style>
  <w:style w:type="character" w:styleId="1085" w:customStyle="1">
    <w:name w:val="WW8Num11z7"/>
  </w:style>
  <w:style w:type="character" w:styleId="1086" w:customStyle="1">
    <w:name w:val="WW8Num11z8"/>
  </w:style>
  <w:style w:type="character" w:styleId="1087" w:customStyle="1">
    <w:name w:val="WW8Num12z0"/>
  </w:style>
  <w:style w:type="character" w:styleId="1088" w:customStyle="1">
    <w:name w:val="WW8Num12z1"/>
  </w:style>
  <w:style w:type="character" w:styleId="1089" w:customStyle="1">
    <w:name w:val="WW8Num12z2"/>
  </w:style>
  <w:style w:type="character" w:styleId="1090" w:customStyle="1">
    <w:name w:val="WW8Num12z3"/>
  </w:style>
  <w:style w:type="character" w:styleId="1091" w:customStyle="1">
    <w:name w:val="WW8Num12z4"/>
  </w:style>
  <w:style w:type="character" w:styleId="1092" w:customStyle="1">
    <w:name w:val="WW8Num12z5"/>
  </w:style>
  <w:style w:type="character" w:styleId="1093" w:customStyle="1">
    <w:name w:val="WW8Num12z6"/>
  </w:style>
  <w:style w:type="character" w:styleId="1094" w:customStyle="1">
    <w:name w:val="WW8Num12z7"/>
  </w:style>
  <w:style w:type="character" w:styleId="1095" w:customStyle="1">
    <w:name w:val="WW8Num12z8"/>
  </w:style>
  <w:style w:type="character" w:styleId="1096" w:customStyle="1">
    <w:name w:val="WW8Num13z0"/>
  </w:style>
  <w:style w:type="character" w:styleId="1097" w:customStyle="1">
    <w:name w:val="WW8Num13z1"/>
  </w:style>
  <w:style w:type="character" w:styleId="1098" w:customStyle="1">
    <w:name w:val="WW8Num13z2"/>
  </w:style>
  <w:style w:type="character" w:styleId="1099" w:customStyle="1">
    <w:name w:val="WW8Num13z3"/>
  </w:style>
  <w:style w:type="character" w:styleId="1100" w:customStyle="1">
    <w:name w:val="WW8Num13z4"/>
  </w:style>
  <w:style w:type="character" w:styleId="1101" w:customStyle="1">
    <w:name w:val="WW8Num13z5"/>
  </w:style>
  <w:style w:type="character" w:styleId="1102" w:customStyle="1">
    <w:name w:val="WW8Num13z6"/>
  </w:style>
  <w:style w:type="character" w:styleId="1103" w:customStyle="1">
    <w:name w:val="WW8Num13z7"/>
  </w:style>
  <w:style w:type="character" w:styleId="1104" w:customStyle="1">
    <w:name w:val="WW8Num13z8"/>
  </w:style>
  <w:style w:type="character" w:styleId="1105" w:customStyle="1">
    <w:name w:val="WW8Num14z0"/>
  </w:style>
  <w:style w:type="character" w:styleId="1106" w:customStyle="1">
    <w:name w:val="WW8Num14z1"/>
  </w:style>
  <w:style w:type="character" w:styleId="1107" w:customStyle="1">
    <w:name w:val="WW8Num14z2"/>
  </w:style>
  <w:style w:type="character" w:styleId="1108" w:customStyle="1">
    <w:name w:val="WW8Num14z3"/>
  </w:style>
  <w:style w:type="character" w:styleId="1109" w:customStyle="1">
    <w:name w:val="WW8Num14z4"/>
  </w:style>
  <w:style w:type="character" w:styleId="1110" w:customStyle="1">
    <w:name w:val="WW8Num14z5"/>
  </w:style>
  <w:style w:type="character" w:styleId="1111" w:customStyle="1">
    <w:name w:val="WW8Num14z6"/>
  </w:style>
  <w:style w:type="character" w:styleId="1112" w:customStyle="1">
    <w:name w:val="WW8Num14z7"/>
  </w:style>
  <w:style w:type="character" w:styleId="1113" w:customStyle="1">
    <w:name w:val="WW8Num14z8"/>
  </w:style>
  <w:style w:type="character" w:styleId="1114" w:customStyle="1">
    <w:name w:val="WW8Num15z0"/>
  </w:style>
  <w:style w:type="character" w:styleId="1115" w:customStyle="1">
    <w:name w:val="WW8Num16z0"/>
  </w:style>
  <w:style w:type="character" w:styleId="1116" w:customStyle="1">
    <w:name w:val="WW8Num16z1"/>
  </w:style>
  <w:style w:type="character" w:styleId="1117" w:customStyle="1">
    <w:name w:val="WW8Num16z2"/>
  </w:style>
  <w:style w:type="character" w:styleId="1118" w:customStyle="1">
    <w:name w:val="WW8Num16z3"/>
  </w:style>
  <w:style w:type="character" w:styleId="1119" w:customStyle="1">
    <w:name w:val="WW8Num16z4"/>
  </w:style>
  <w:style w:type="character" w:styleId="1120" w:customStyle="1">
    <w:name w:val="WW8Num16z5"/>
  </w:style>
  <w:style w:type="character" w:styleId="1121" w:customStyle="1">
    <w:name w:val="WW8Num16z6"/>
  </w:style>
  <w:style w:type="character" w:styleId="1122" w:customStyle="1">
    <w:name w:val="WW8Num16z7"/>
  </w:style>
  <w:style w:type="character" w:styleId="1123" w:customStyle="1">
    <w:name w:val="WW8Num16z8"/>
  </w:style>
  <w:style w:type="character" w:styleId="1124" w:customStyle="1">
    <w:name w:val="WW8Num17z0"/>
  </w:style>
  <w:style w:type="character" w:styleId="1125" w:customStyle="1">
    <w:name w:val="WW8Num17z1"/>
  </w:style>
  <w:style w:type="character" w:styleId="1126" w:customStyle="1">
    <w:name w:val="WW8Num17z2"/>
  </w:style>
  <w:style w:type="character" w:styleId="1127" w:customStyle="1">
    <w:name w:val="WW8Num17z3"/>
  </w:style>
  <w:style w:type="character" w:styleId="1128" w:customStyle="1">
    <w:name w:val="WW8Num17z4"/>
  </w:style>
  <w:style w:type="character" w:styleId="1129" w:customStyle="1">
    <w:name w:val="WW8Num17z5"/>
  </w:style>
  <w:style w:type="character" w:styleId="1130" w:customStyle="1">
    <w:name w:val="WW8Num17z6"/>
  </w:style>
  <w:style w:type="character" w:styleId="1131" w:customStyle="1">
    <w:name w:val="WW8Num17z7"/>
  </w:style>
  <w:style w:type="character" w:styleId="1132" w:customStyle="1">
    <w:name w:val="WW8Num17z8"/>
  </w:style>
  <w:style w:type="character" w:styleId="1133" w:customStyle="1">
    <w:name w:val="WW8Num18z0"/>
  </w:style>
  <w:style w:type="character" w:styleId="1134" w:customStyle="1">
    <w:name w:val="WW8Num19z0"/>
  </w:style>
  <w:style w:type="character" w:styleId="1135" w:customStyle="1">
    <w:name w:val="WW8Num19z1"/>
    <w:rPr>
      <w:b w:val="0"/>
    </w:rPr>
  </w:style>
  <w:style w:type="character" w:styleId="1136" w:customStyle="1">
    <w:name w:val="WW8Num19z2"/>
  </w:style>
  <w:style w:type="character" w:styleId="1137" w:customStyle="1">
    <w:name w:val="WW8Num19z3"/>
  </w:style>
  <w:style w:type="character" w:styleId="1138" w:customStyle="1">
    <w:name w:val="WW8Num19z4"/>
  </w:style>
  <w:style w:type="character" w:styleId="1139" w:customStyle="1">
    <w:name w:val="WW8Num19z5"/>
  </w:style>
  <w:style w:type="character" w:styleId="1140" w:customStyle="1">
    <w:name w:val="WW8Num19z6"/>
  </w:style>
  <w:style w:type="character" w:styleId="1141" w:customStyle="1">
    <w:name w:val="WW8Num19z7"/>
  </w:style>
  <w:style w:type="character" w:styleId="1142" w:customStyle="1">
    <w:name w:val="WW8Num19z8"/>
  </w:style>
  <w:style w:type="character" w:styleId="1143" w:customStyle="1">
    <w:name w:val="WW8Num20z0"/>
  </w:style>
  <w:style w:type="character" w:styleId="1144" w:customStyle="1">
    <w:name w:val="WW8Num20z1"/>
  </w:style>
  <w:style w:type="character" w:styleId="1145" w:customStyle="1">
    <w:name w:val="WW8Num20z2"/>
  </w:style>
  <w:style w:type="character" w:styleId="1146" w:customStyle="1">
    <w:name w:val="WW8Num20z3"/>
  </w:style>
  <w:style w:type="character" w:styleId="1147" w:customStyle="1">
    <w:name w:val="WW8Num20z4"/>
    <w:link w:val="1192"/>
  </w:style>
  <w:style w:type="character" w:styleId="1148" w:customStyle="1">
    <w:name w:val="WW8Num20z5"/>
  </w:style>
  <w:style w:type="character" w:styleId="1149" w:customStyle="1">
    <w:name w:val="WW8Num20z6"/>
  </w:style>
  <w:style w:type="character" w:styleId="1150" w:customStyle="1">
    <w:name w:val="WW8Num20z7"/>
  </w:style>
  <w:style w:type="character" w:styleId="1151" w:customStyle="1">
    <w:name w:val="WW8Num20z8"/>
  </w:style>
  <w:style w:type="character" w:styleId="1152" w:customStyle="1">
    <w:name w:val="WW8Num21z0"/>
  </w:style>
  <w:style w:type="character" w:styleId="1153" w:customStyle="1">
    <w:name w:val="WW8Num21z1"/>
  </w:style>
  <w:style w:type="character" w:styleId="1154" w:customStyle="1">
    <w:name w:val="WW8Num21z2"/>
  </w:style>
  <w:style w:type="character" w:styleId="1155" w:customStyle="1">
    <w:name w:val="WW8Num21z3"/>
  </w:style>
  <w:style w:type="character" w:styleId="1156" w:customStyle="1">
    <w:name w:val="WW8Num21z4"/>
  </w:style>
  <w:style w:type="character" w:styleId="1157" w:customStyle="1">
    <w:name w:val="WW8Num21z5"/>
  </w:style>
  <w:style w:type="character" w:styleId="1158" w:customStyle="1">
    <w:name w:val="WW8Num21z6"/>
  </w:style>
  <w:style w:type="character" w:styleId="1159" w:customStyle="1">
    <w:name w:val="WW8Num21z7"/>
  </w:style>
  <w:style w:type="character" w:styleId="1160" w:customStyle="1">
    <w:name w:val="WW8Num21z8"/>
  </w:style>
  <w:style w:type="character" w:styleId="1161" w:customStyle="1">
    <w:name w:val="WW8Num22z0"/>
  </w:style>
  <w:style w:type="character" w:styleId="1162" w:customStyle="1">
    <w:name w:val="WW8Num22z1"/>
  </w:style>
  <w:style w:type="character" w:styleId="1163" w:customStyle="1">
    <w:name w:val="WW8Num22z2"/>
  </w:style>
  <w:style w:type="character" w:styleId="1164" w:customStyle="1">
    <w:name w:val="WW8Num22z3"/>
  </w:style>
  <w:style w:type="character" w:styleId="1165" w:customStyle="1">
    <w:name w:val="WW8Num22z4"/>
  </w:style>
  <w:style w:type="character" w:styleId="1166" w:customStyle="1">
    <w:name w:val="WW8Num22z5"/>
  </w:style>
  <w:style w:type="character" w:styleId="1167" w:customStyle="1">
    <w:name w:val="WW8Num22z6"/>
  </w:style>
  <w:style w:type="character" w:styleId="1168" w:customStyle="1">
    <w:name w:val="WW8Num22z7"/>
  </w:style>
  <w:style w:type="character" w:styleId="1169" w:customStyle="1">
    <w:name w:val="WW8Num22z8"/>
  </w:style>
  <w:style w:type="character" w:styleId="1170" w:customStyle="1">
    <w:name w:val="Основной шрифт абзаца1"/>
  </w:style>
  <w:style w:type="character" w:styleId="1171" w:customStyle="1">
    <w:name w:val="Заголовок 8 Знак"/>
    <w:rPr>
      <w:rFonts w:ascii="Calibri" w:hAnsi="Calibri" w:cs="Calibri"/>
      <w:i/>
      <w:iCs/>
      <w:sz w:val="24"/>
      <w:szCs w:val="24"/>
    </w:rPr>
  </w:style>
  <w:style w:type="character" w:styleId="1172" w:customStyle="1">
    <w:name w:val="Гипертекстовая ссылка"/>
    <w:rPr>
      <w:color w:val="106bbe"/>
    </w:rPr>
  </w:style>
  <w:style w:type="character" w:styleId="1173" w:customStyle="1">
    <w:name w:val="Цветовое выделение"/>
    <w:rPr>
      <w:b/>
      <w:color w:val="26282f"/>
    </w:rPr>
  </w:style>
  <w:style w:type="paragraph" w:styleId="1174">
    <w:name w:val="Body Text"/>
    <w:basedOn w:val="822"/>
    <w:pPr>
      <w:jc w:val="both"/>
    </w:pPr>
    <w:rPr>
      <w:sz w:val="24"/>
    </w:rPr>
  </w:style>
  <w:style w:type="paragraph" w:styleId="1175">
    <w:name w:val="List"/>
    <w:basedOn w:val="1174"/>
    <w:rPr>
      <w:rFonts w:cs="Lucida Sans"/>
    </w:rPr>
  </w:style>
  <w:style w:type="paragraph" w:styleId="1176" w:customStyle="1">
    <w:name w:val="Название1"/>
    <w:basedOn w:val="822"/>
    <w:pPr>
      <w:spacing w:before="120" w:after="120"/>
      <w:suppressLineNumbers/>
    </w:pPr>
    <w:rPr>
      <w:rFonts w:cs="Lucida Sans"/>
      <w:i/>
      <w:iCs/>
      <w:sz w:val="24"/>
      <w:szCs w:val="24"/>
    </w:rPr>
  </w:style>
  <w:style w:type="paragraph" w:styleId="1177" w:customStyle="1">
    <w:name w:val="Указатель1"/>
    <w:basedOn w:val="822"/>
    <w:pPr>
      <w:suppressLineNumbers/>
    </w:pPr>
    <w:rPr>
      <w:rFonts w:cs="Lucida Sans"/>
    </w:rPr>
  </w:style>
  <w:style w:type="paragraph" w:styleId="1178" w:customStyle="1">
    <w:name w:val="Основной текст с отступом 21"/>
    <w:basedOn w:val="822"/>
    <w:pPr>
      <w:ind w:firstLine="851"/>
      <w:jc w:val="both"/>
    </w:pPr>
    <w:rPr>
      <w:sz w:val="28"/>
    </w:rPr>
  </w:style>
  <w:style w:type="paragraph" w:styleId="1179">
    <w:name w:val="Body Text Indent"/>
    <w:basedOn w:val="822"/>
    <w:pPr>
      <w:ind w:firstLine="567"/>
    </w:pPr>
    <w:rPr>
      <w:sz w:val="24"/>
    </w:rPr>
  </w:style>
  <w:style w:type="paragraph" w:styleId="1180" w:customStyle="1">
    <w:name w:val="Основной текст с отступом 31"/>
    <w:basedOn w:val="822"/>
    <w:pPr>
      <w:ind w:firstLine="426"/>
    </w:pPr>
    <w:rPr>
      <w:sz w:val="24"/>
    </w:rPr>
  </w:style>
  <w:style w:type="paragraph" w:styleId="1181" w:customStyle="1">
    <w:name w:val="Основной текст 21"/>
    <w:basedOn w:val="822"/>
    <w:rPr>
      <w:sz w:val="28"/>
    </w:rPr>
  </w:style>
  <w:style w:type="paragraph" w:styleId="1182">
    <w:name w:val="Balloon Text"/>
    <w:basedOn w:val="822"/>
    <w:rPr>
      <w:rFonts w:ascii="Tahoma" w:hAnsi="Tahoma" w:cs="Tahoma"/>
      <w:sz w:val="16"/>
      <w:szCs w:val="16"/>
    </w:rPr>
  </w:style>
  <w:style w:type="paragraph" w:styleId="1183" w:customStyle="1">
    <w:name w:val="ConsPlusNormal"/>
    <w:pPr>
      <w:ind w:firstLine="720"/>
      <w:widowControl w:val="off"/>
    </w:pPr>
    <w:rPr>
      <w:rFonts w:ascii="Arial" w:hAnsi="Arial" w:cs="Arial"/>
      <w:lang w:eastAsia="ar-SA"/>
    </w:rPr>
  </w:style>
  <w:style w:type="paragraph" w:styleId="1184" w:customStyle="1">
    <w:name w:val="Прижатый влево"/>
    <w:basedOn w:val="822"/>
    <w:next w:val="822"/>
    <w:uiPriority w:val="99"/>
    <w:rPr>
      <w:rFonts w:ascii="Arial" w:hAnsi="Arial" w:cs="Arial"/>
      <w:sz w:val="24"/>
      <w:szCs w:val="24"/>
    </w:rPr>
  </w:style>
  <w:style w:type="paragraph" w:styleId="1185" w:customStyle="1">
    <w:name w:val="Нормальный (таблица)"/>
    <w:basedOn w:val="822"/>
    <w:next w:val="822"/>
    <w:pPr>
      <w:jc w:val="both"/>
      <w:widowControl w:val="off"/>
    </w:pPr>
    <w:rPr>
      <w:rFonts w:ascii="Times New Roman CYR" w:hAnsi="Times New Roman CYR" w:cs="Times New Roman CYR"/>
      <w:sz w:val="24"/>
      <w:szCs w:val="24"/>
    </w:rPr>
  </w:style>
  <w:style w:type="paragraph" w:styleId="1186" w:customStyle="1">
    <w:name w:val="s_1"/>
    <w:basedOn w:val="822"/>
    <w:pPr>
      <w:spacing w:before="280" w:after="280"/>
    </w:pPr>
    <w:rPr>
      <w:sz w:val="24"/>
      <w:szCs w:val="24"/>
    </w:rPr>
  </w:style>
  <w:style w:type="paragraph" w:styleId="1187" w:customStyle="1">
    <w:name w:val="Обычный (веб)"/>
    <w:basedOn w:val="822"/>
    <w:pPr>
      <w:spacing w:before="280" w:after="280"/>
    </w:pPr>
    <w:rPr>
      <w:color w:val="122b62"/>
      <w:sz w:val="24"/>
      <w:szCs w:val="24"/>
    </w:rPr>
  </w:style>
  <w:style w:type="paragraph" w:styleId="1188" w:customStyle="1">
    <w:name w:val="Heading"/>
    <w:rPr>
      <w:rFonts w:ascii="Arial" w:hAnsi="Arial" w:cs="Arial"/>
      <w:b/>
      <w:bCs/>
      <w:sz w:val="22"/>
      <w:szCs w:val="22"/>
      <w:lang w:eastAsia="ar-SA"/>
    </w:rPr>
  </w:style>
  <w:style w:type="paragraph" w:styleId="1189" w:customStyle="1">
    <w:name w:val="Содержимое таблицы"/>
    <w:basedOn w:val="822"/>
    <w:pPr>
      <w:suppressLineNumbers/>
    </w:pPr>
  </w:style>
  <w:style w:type="paragraph" w:styleId="1190" w:customStyle="1">
    <w:name w:val="Заголовок таблицы"/>
    <w:basedOn w:val="1189"/>
    <w:pPr>
      <w:jc w:val="center"/>
    </w:pPr>
    <w:rPr>
      <w:b/>
      <w:bCs/>
    </w:rPr>
  </w:style>
  <w:style w:type="paragraph" w:styleId="1191" w:customStyle="1">
    <w:name w:val="s_16"/>
    <w:basedOn w:val="822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1192" w:customStyle="1">
    <w:name w:val="formattext"/>
    <w:link w:val="1147"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  <w:lang w:eastAsia="ru-RU"/>
    </w:rPr>
  </w:style>
  <w:style w:type="character" w:styleId="1193" w:customStyle="1">
    <w:name w:val="apple-converted-space"/>
    <w:qFormat/>
  </w:style>
  <w:style w:type="character" w:styleId="1194" w:customStyle="1">
    <w:name w:val="s_10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://base.garant.ru/6180772/" TargetMode="External"/><Relationship Id="rId14" Type="http://schemas.openxmlformats.org/officeDocument/2006/relationships/image" Target="media/image2.jpg"/><Relationship Id="rId15" Type="http://schemas.openxmlformats.org/officeDocument/2006/relationships/image" Target="media/image3.jpg"/><Relationship Id="rId16" Type="http://schemas.openxmlformats.org/officeDocument/2006/relationships/image" Target="media/image4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Российскэ Федерацие</dc:title>
  <dc:creator>Irina</dc:creator>
  <cp:lastModifiedBy>user</cp:lastModifiedBy>
  <cp:revision>24</cp:revision>
  <dcterms:created xsi:type="dcterms:W3CDTF">2025-11-12T15:13:00Z</dcterms:created>
  <dcterms:modified xsi:type="dcterms:W3CDTF">2026-02-27T12:40:26Z</dcterms:modified>
  <cp:version>1048576</cp:version>
</cp:coreProperties>
</file>